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olor w:val="1A1A5E"/>
          <w:sz w:val="36"/>
          <w:szCs w:val="36"/>
        </w:rPr>
        <w:t xml:space="preserve">PROTOCOLO DE INVESTIGACION CLINICA</w:t>
      </w:r>
    </w:p>
    <w:p>
      <w:pPr>
        <w:spacing w:after="80" w:before="0"/>
        <w:jc w:val="center"/>
      </w:pPr>
      <w:r>
        <w:rPr>
          <w:rFonts w:ascii="Arial" w:cs="Arial" w:eastAsia="Arial" w:hAnsi="Arial"/>
          <w:color w:val="666666"/>
          <w:sz w:val="22"/>
          <w:szCs w:val="22"/>
        </w:rPr>
        <w:t xml:space="preserve">Codigo: CEI-2025-0103</w:t>
      </w:r>
    </w:p>
    <w:p>
      <w:pPr>
        <w:pBdr>
          <w:bottom w:val="single" w:color="2E2EAA" w:sz="8" w:space="4"/>
        </w:pBdr>
        <w:spacing w:after="400" w:before="0"/>
        <w:jc w:val="center"/>
      </w:pPr>
      <w:r>
        <w:rPr>
          <w:sz w:val="22"/>
          <w:szCs w:val="22"/>
        </w:rPr>
        <w:t xml:space="preserve"/>
      </w:r>
    </w:p>
    <w:p>
      <w:pPr>
        <w:spacing w:after="100" w:before="200"/>
        <w:jc w:val="center"/>
      </w:pPr>
      <w:r>
        <w:rPr>
          <w:rFonts w:ascii="Arial" w:cs="Arial" w:eastAsia="Arial" w:hAnsi="Arial"/>
          <w:b/>
          <w:bCs/>
          <w:color w:val="1A1A5E"/>
          <w:sz w:val="28"/>
          <w:szCs w:val="28"/>
        </w:rPr>
        <w:t xml:space="preserve">Evaluacion de la Terapia de Reemplazo Enzimatico con RNZ-201</w:t>
      </w:r>
    </w:p>
    <w:p>
      <w:pPr>
        <w:spacing w:after="40" w:before="0"/>
        <w:jc w:val="center"/>
      </w:pPr>
      <w:r>
        <w:rPr>
          <w:rFonts w:ascii="Arial" w:cs="Arial" w:eastAsia="Arial" w:hAnsi="Arial"/>
          <w:b/>
          <w:bCs/>
          <w:color w:val="1A1A5E"/>
          <w:sz w:val="28"/>
          <w:szCs w:val="28"/>
        </w:rPr>
        <w:t xml:space="preserve">en Pacientes con Enfermedad de Niemann-Pick Tipo C (NPC):</w:t>
      </w:r>
    </w:p>
    <w:p>
      <w:pPr>
        <w:spacing w:after="80" w:before="0"/>
        <w:jc w:val="center"/>
      </w:pPr>
      <w:r>
        <w:rPr>
          <w:rFonts w:ascii="Arial" w:cs="Arial" w:eastAsia="Arial" w:hAnsi="Arial"/>
          <w:color w:val="2E2EAA"/>
          <w:sz w:val="24"/>
          <w:szCs w:val="24"/>
        </w:rPr>
        <w:t xml:space="preserve">Ensayo Clinico Abierto, Multicentrico, de Fase II</w:t>
      </w:r>
    </w:p>
    <w:p>
      <w:pPr>
        <w:spacing w:after="400" w:before="0"/>
        <w:jc w:val="center"/>
      </w:pPr>
      <w:r>
        <w:rPr>
          <w:rFonts w:ascii="Arial" w:cs="Arial" w:eastAsia="Arial" w:hAnsi="Arial"/>
          <w:color w:val="2E2EAA"/>
          <w:sz w:val="22"/>
          <w:szCs w:val="22"/>
        </w:rPr>
        <w:t xml:space="preserve">con Inclusion de Pacientes Pediatricos y Adultos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Investigadora Principal:</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Dra. Silvia Marcela Godoy Paredes, MD, PhD — Genetica Medica</w:t>
            </w:r>
          </w:p>
        </w:tc>
      </w:tr>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Institucion coordinadora:</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Hospital Nacional de Genetica Medica — Servicio de Enfermedades Lisosomales</w:t>
            </w:r>
          </w:p>
        </w:tc>
      </w:tr>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Centros participantes: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 centros nacionales + 1 centro internacional (Brasil)</w:t>
            </w:r>
          </w:p>
        </w:tc>
      </w:tr>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Patrocinador:</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RareMed Biosciences Inc. (Canada)</w:t>
            </w:r>
          </w:p>
        </w:tc>
      </w:tr>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Version del protocolo:</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 Fecha: 7 de abril de 2025</w:t>
            </w:r>
          </w:p>
        </w:tc>
      </w:tr>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Tipo de estudio:</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Ensayo clinico abierto, multicentrico, Fase II</w:t>
            </w:r>
          </w:p>
        </w:tc>
      </w:tr>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Duracion estimada:</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36 meses (julio 2025 — junio 2028)</w:t>
            </w:r>
          </w:p>
        </w:tc>
      </w:tr>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N. de participantes: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35 pacientes (ninos &gt;= 4 anos y adultos hasta 45 anos)</w:t>
            </w:r>
          </w:p>
        </w:tc>
      </w:tr>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Codigo CEIC:</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CEI-2025-0103</w:t>
            </w:r>
          </w:p>
        </w:tc>
      </w:tr>
      <w:tr>
        <w:tc>
          <w:tcPr>
            <w:tcW w:type="dxa" w:w="32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b/>
                <w:bCs/>
                <w:sz w:val="20"/>
                <w:szCs w:val="20"/>
              </w:rPr>
              <w:t xml:space="preserve">Designacion farmaco huerfano:</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FDA: 2023-ODD-0412; EMA: EU/3/23/2789</w:t>
            </w:r>
          </w:p>
        </w:tc>
      </w:tr>
    </w:tbl>
    <w:p>
      <w:pPr>
        <w:spacing w:before="400"/>
      </w:pPr>
    </w:p>
    <w:p>
      <w:pPr>
        <w:pStyle w:val="Heading1"/>
        <w:spacing w:after="160" w:before="320"/>
      </w:pPr>
      <w:r>
        <w:rPr>
          <w:rFonts w:ascii="Arial" w:cs="Arial" w:eastAsia="Arial" w:hAnsi="Arial"/>
          <w:b/>
          <w:bCs/>
          <w:color w:val="1A1A5E"/>
          <w:sz w:val="28"/>
          <w:szCs w:val="28"/>
        </w:rPr>
        <w:t xml:space="preserve">1. RESUMEN EJECUTIVO</w:t>
      </w:r>
    </w:p>
    <w:p>
      <w:pPr>
        <w:spacing w:after="80" w:before="80"/>
        <w:jc w:val="both"/>
      </w:pPr>
      <w:r>
        <w:rPr>
          <w:rFonts w:ascii="Arial" w:cs="Arial" w:eastAsia="Arial" w:hAnsi="Arial"/>
          <w:sz w:val="22"/>
          <w:szCs w:val="22"/>
        </w:rPr>
        <w:t xml:space="preserve">El presente protocolo describe un ensayo clinico abierto, multicentrico, de Fase II, disenado para evaluar la eficacia, seguridad y farmacocinetica de RNZ-201, una terapia de reemplazo enzimatico recombinante (TRE) de nueva generacion, en pacientes con Enfermedad de Niemann-Pick Tipo C (NPC), un trastorno lisosomico ultra-raro de herencia autosomica recesiva causado por mutaciones en los genes NPC1 o NPC2, que produce acumulacion intracelular de colesterol y esfingolipidos con afectacion progresiva e irreversible del sistema nervioso central.</w:t>
      </w:r>
    </w:p>
    <w:p>
      <w:pPr>
        <w:spacing w:after="80" w:before="80"/>
        <w:jc w:val="both"/>
      </w:pPr>
      <w:r>
        <w:rPr>
          <w:rFonts w:ascii="Arial" w:cs="Arial" w:eastAsia="Arial" w:hAnsi="Arial"/>
          <w:sz w:val="22"/>
          <w:szCs w:val="22"/>
        </w:rPr>
        <w:t xml:space="preserve"/>
      </w:r>
    </w:p>
    <w:p>
      <w:pPr>
        <w:spacing w:after="80" w:before="80"/>
        <w:jc w:val="both"/>
      </w:pPr>
      <w:r>
        <w:rPr>
          <w:rFonts w:ascii="Arial" w:cs="Arial" w:eastAsia="Arial" w:hAnsi="Arial"/>
          <w:b/>
          <w:bCs/>
          <w:sz w:val="22"/>
          <w:szCs w:val="22"/>
        </w:rPr>
        <w:t xml:space="preserve">Pregunta de investigacion: </w:t>
      </w:r>
      <w:r>
        <w:rPr>
          <w:rFonts w:ascii="Arial" w:cs="Arial" w:eastAsia="Arial" w:hAnsi="Arial"/>
          <w:sz w:val="22"/>
          <w:szCs w:val="22"/>
        </w:rPr>
        <w:t xml:space="preserve">Puede RNZ-201 administrado por via intratecal mensual estabilizar o mejorar la funcion neurologica (medida por la escala NPC-CSS) en pacientes con NPC en estadio neurologico activo, a los 12 meses de tratamiento?</w:t>
      </w:r>
    </w:p>
    <w:p>
      <w:pPr>
        <w:spacing w:after="80" w:before="80"/>
        <w:jc w:val="both"/>
      </w:pPr>
      <w:r>
        <w:rPr>
          <w:rFonts w:ascii="Arial" w:cs="Arial" w:eastAsia="Arial" w:hAnsi="Arial"/>
          <w:sz w:val="22"/>
          <w:szCs w:val="22"/>
        </w:rPr>
        <w:t xml:space="preserve"/>
      </w:r>
    </w:p>
    <w:p>
      <w:pPr>
        <w:spacing w:after="80" w:before="80"/>
        <w:jc w:val="both"/>
      </w:pPr>
      <w:r>
        <w:rPr>
          <w:rFonts w:ascii="Arial" w:cs="Arial" w:eastAsia="Arial" w:hAnsi="Arial"/>
          <w:sz w:val="22"/>
          <w:szCs w:val="22"/>
        </w:rPr>
        <w:t xml:space="preserve">El estudio incluira 35 pacientes de 4 anos en adelante con diagnostico confirmado de NPC (genotipo NPC1 o NPC2), distribuidos en dos cohortes: pediatrica (4-17 anos, n=20) y adulta (18-45 anos, n=15). La intervencion consiste en infusiones intratecales mensuales de RNZ-201 durante 12 meses con seguimiento adicional de 6 meses.</w:t>
      </w:r>
    </w:p>
    <w:p>
      <w:pPr>
        <w:spacing w:after="80" w:before="120"/>
      </w:pPr>
      <w:r>
        <w:rPr>
          <w:rFonts w:ascii="Arial" w:cs="Arial" w:eastAsia="Arial" w:hAnsi="Arial"/>
          <w:b/>
          <w:bCs/>
          <w:sz w:val="22"/>
          <w:szCs w:val="22"/>
        </w:rPr>
        <w:t xml:space="preserve">Variables principales del estudio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c>
          <w:tcPr>
            <w:tcW w:type="dxa" w:w="3000"/>
            <w:tcBorders>
              <w:top w:val="single" w:color="CCCCCC" w:sz="1"/>
              <w:left w:val="single" w:color="CCCCCC" w:sz="1"/>
              <w:bottom w:val="single" w:color="CCCCCC" w:sz="1"/>
              <w:right w:val="single" w:color="CCCCCC" w:sz="1"/>
            </w:tcBorders>
            <w:shd w:fill="1A1A5E" w:val="clear"/>
            <w:tcMar>
              <w:top w:type="dxa" w:w="80"/>
              <w:left w:type="dxa" w:w="120"/>
              <w:bottom w:type="dxa" w:w="80"/>
              <w:right w:type="dxa" w:w="120"/>
            </w:tcMar>
          </w:tcPr>
          <w:p>
            <w:r>
              <w:rPr>
                <w:rFonts w:ascii="Arial" w:cs="Arial" w:eastAsia="Arial" w:hAnsi="Arial"/>
                <w:b/>
                <w:bCs/>
                <w:color w:val="FFFFFF"/>
                <w:sz w:val="20"/>
                <w:szCs w:val="20"/>
              </w:rPr>
              <w:t xml:space="preserve">Variable</w:t>
            </w:r>
          </w:p>
        </w:tc>
        <w:tc>
          <w:tcPr>
            <w:tcW w:type="dxa" w:w="3180"/>
            <w:tcBorders>
              <w:top w:val="single" w:color="CCCCCC" w:sz="1"/>
              <w:left w:val="single" w:color="CCCCCC" w:sz="1"/>
              <w:bottom w:val="single" w:color="CCCCCC" w:sz="1"/>
              <w:right w:val="single" w:color="CCCCCC" w:sz="1"/>
            </w:tcBorders>
            <w:shd w:fill="1A1A5E" w:val="clear"/>
            <w:tcMar>
              <w:top w:type="dxa" w:w="80"/>
              <w:left w:type="dxa" w:w="120"/>
              <w:bottom w:type="dxa" w:w="80"/>
              <w:right w:type="dxa" w:w="120"/>
            </w:tcMar>
          </w:tcPr>
          <w:p>
            <w:r>
              <w:rPr>
                <w:rFonts w:ascii="Arial" w:cs="Arial" w:eastAsia="Arial" w:hAnsi="Arial"/>
                <w:b/>
                <w:bCs/>
                <w:color w:val="FFFFFF"/>
                <w:sz w:val="20"/>
                <w:szCs w:val="20"/>
              </w:rPr>
              <w:t xml:space="preserve">Instrumento / Medida</w:t>
            </w:r>
          </w:p>
        </w:tc>
        <w:tc>
          <w:tcPr>
            <w:tcW w:type="dxa" w:w="3180"/>
            <w:tcBorders>
              <w:top w:val="single" w:color="CCCCCC" w:sz="1"/>
              <w:left w:val="single" w:color="CCCCCC" w:sz="1"/>
              <w:bottom w:val="single" w:color="CCCCCC" w:sz="1"/>
              <w:right w:val="single" w:color="CCCCCC" w:sz="1"/>
            </w:tcBorders>
            <w:shd w:fill="1A1A5E" w:val="clear"/>
            <w:tcMar>
              <w:top w:type="dxa" w:w="80"/>
              <w:left w:type="dxa" w:w="120"/>
              <w:bottom w:type="dxa" w:w="80"/>
              <w:right w:type="dxa" w:w="120"/>
            </w:tcMar>
          </w:tcPr>
          <w:p>
            <w:r>
              <w:rPr>
                <w:rFonts w:ascii="Arial" w:cs="Arial" w:eastAsia="Arial" w:hAnsi="Arial"/>
                <w:b/>
                <w:bCs/>
                <w:color w:val="FFFFFF"/>
                <w:sz w:val="20"/>
                <w:szCs w:val="20"/>
              </w:rPr>
              <w:t xml:space="preserve">Momento de evaluacion</w:t>
            </w:r>
          </w:p>
        </w:tc>
      </w:tr>
      <w:tr>
        <w:tc>
          <w:tcPr>
            <w:tcW w:type="dxa" w:w="30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sz w:val="19"/>
                <w:szCs w:val="19"/>
              </w:rPr>
              <w:t xml:space="preserve">Funcion neurologica (PRIMARIA)</w:t>
            </w:r>
          </w:p>
        </w:tc>
        <w:tc>
          <w:tcPr>
            <w:tcW w:type="dxa" w:w="318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sz w:val="19"/>
                <w:szCs w:val="19"/>
              </w:rPr>
              <w:t xml:space="preserve">Escala NPC-CSS (Clinical Severity Score)</w:t>
            </w:r>
          </w:p>
        </w:tc>
        <w:tc>
          <w:tcPr>
            <w:tcW w:type="dxa" w:w="318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sz w:val="19"/>
                <w:szCs w:val="19"/>
              </w:rPr>
              <w:t xml:space="preserve">Basal, meses 3, 6, 12 y 18</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Biomarcadores en LCR</w:t>
            </w:r>
          </w:p>
        </w:tc>
        <w:tc>
          <w:tcPr>
            <w:tcW w:type="dxa" w:w="3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24S-OHC, esfingomielina, NFL</w:t>
            </w:r>
          </w:p>
        </w:tc>
        <w:tc>
          <w:tcPr>
            <w:tcW w:type="dxa" w:w="3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Basal, meses 3, 6 y 12</w:t>
            </w:r>
          </w:p>
        </w:tc>
      </w:tr>
      <w:tr>
        <w:tc>
          <w:tcPr>
            <w:tcW w:type="dxa" w:w="30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sz w:val="19"/>
                <w:szCs w:val="19"/>
              </w:rPr>
              <w:t xml:space="preserve">Funcion cognitiva</w:t>
            </w:r>
          </w:p>
        </w:tc>
        <w:tc>
          <w:tcPr>
            <w:tcW w:type="dxa" w:w="318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sz w:val="19"/>
                <w:szCs w:val="19"/>
              </w:rPr>
              <w:t xml:space="preserve">Bateria CANTAB adaptada por edad</w:t>
            </w:r>
          </w:p>
        </w:tc>
        <w:tc>
          <w:tcPr>
            <w:tcW w:type="dxa" w:w="318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sz w:val="19"/>
                <w:szCs w:val="19"/>
              </w:rPr>
              <w:t xml:space="preserve">Basal, meses 6 y 12</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Seguridad via intratecal</w:t>
            </w:r>
          </w:p>
        </w:tc>
        <w:tc>
          <w:tcPr>
            <w:tcW w:type="dxa" w:w="3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Citologia LCR, presion apertura, CTCAE v5</w:t>
            </w:r>
          </w:p>
        </w:tc>
        <w:tc>
          <w:tcPr>
            <w:tcW w:type="dxa" w:w="3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Cada infusion mensual</w:t>
            </w:r>
          </w:p>
        </w:tc>
      </w:tr>
      <w:tr>
        <w:tc>
          <w:tcPr>
            <w:tcW w:type="dxa" w:w="30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sz w:val="19"/>
                <w:szCs w:val="19"/>
              </w:rPr>
              <w:t xml:space="preserve">Calidad de vida familiar</w:t>
            </w:r>
          </w:p>
        </w:tc>
        <w:tc>
          <w:tcPr>
            <w:tcW w:type="dxa" w:w="318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sz w:val="19"/>
                <w:szCs w:val="19"/>
              </w:rPr>
              <w:t xml:space="preserve">PedsQL (pediatrico) / SF-36 (adultos)</w:t>
            </w:r>
          </w:p>
        </w:tc>
        <w:tc>
          <w:tcPr>
            <w:tcW w:type="dxa" w:w="318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120"/>
            </w:tcMar>
          </w:tcPr>
          <w:p>
            <w:r>
              <w:rPr>
                <w:rFonts w:ascii="Arial" w:cs="Arial" w:eastAsia="Arial" w:hAnsi="Arial"/>
                <w:sz w:val="19"/>
                <w:szCs w:val="19"/>
              </w:rPr>
              <w:t xml:space="preserve">Basal, meses 6, 12 y 18</w:t>
            </w:r>
          </w:p>
        </w:tc>
      </w:tr>
    </w:tbl>
    <w:p>
      <w:pPr>
        <w:spacing w:before="400"/>
      </w:pPr>
    </w:p>
    <w:p>
      <w:pPr>
        <w:pStyle w:val="Heading1"/>
        <w:spacing w:after="160" w:before="320"/>
      </w:pPr>
      <w:r>
        <w:rPr>
          <w:rFonts w:ascii="Arial" w:cs="Arial" w:eastAsia="Arial" w:hAnsi="Arial"/>
          <w:b/>
          <w:bCs/>
          <w:color w:val="1A1A5E"/>
          <w:sz w:val="28"/>
          <w:szCs w:val="28"/>
        </w:rPr>
        <w:t xml:space="preserve">2. INTRODUCCION Y JUSTIFICACION CIENTIFICA</w:t>
      </w:r>
    </w:p>
    <w:p>
      <w:pPr>
        <w:spacing w:after="80" w:before="80"/>
        <w:jc w:val="both"/>
      </w:pPr>
      <w:r>
        <w:rPr>
          <w:rFonts w:ascii="Arial" w:cs="Arial" w:eastAsia="Arial" w:hAnsi="Arial"/>
          <w:sz w:val="22"/>
          <w:szCs w:val="22"/>
        </w:rPr>
        <w:t xml:space="preserve">La Enfermedad de Niemann-Pick Tipo C (NPC) es un trastorno lisosomico ultra-raro con una prevalencia estimada de 1 en 120,000-150,000 nacidos vivos, aunque se estima que esta cifra subestima la prevalencia real debido al elevado subdiagnostico. Es causada por mutaciones con perdida de funcion en el gen NPC1 (95% de los casos) o NPC2 (5%), que codifican proteinas involucradas en el transporte intracelular de colesterol y esfingolipidos. La acumulacion patologica de estos lipidos en el interior celular produce dano neuronal progresivo e irreversible, con manifestaciones que incluyen ataxia cerebelosa, paralisis supranuclear de la mirada, cataplejia, deterioro cognitivo y psicosis.</w:t>
      </w:r>
    </w:p>
    <w:p>
      <w:pPr>
        <w:spacing w:after="80" w:before="80"/>
        <w:jc w:val="both"/>
      </w:pPr>
      <w:r>
        <w:rPr>
          <w:rFonts w:ascii="Arial" w:cs="Arial" w:eastAsia="Arial" w:hAnsi="Arial"/>
          <w:sz w:val="22"/>
          <w:szCs w:val="22"/>
        </w:rPr>
        <w:t xml:space="preserve"/>
      </w:r>
    </w:p>
    <w:p>
      <w:pPr>
        <w:spacing w:after="80" w:before="80"/>
        <w:jc w:val="both"/>
      </w:pPr>
      <w:r>
        <w:rPr>
          <w:rFonts w:ascii="Arial" w:cs="Arial" w:eastAsia="Arial" w:hAnsi="Arial"/>
          <w:sz w:val="22"/>
          <w:szCs w:val="22"/>
        </w:rPr>
        <w:t xml:space="preserve">Actualmente, el unico tratamiento aprobado en algunos paises es la miglustato (inhibidor de glucosilceramida sintasa), que enlentece modestamente la progresion neurologica pero no revierte el dano establecido. No existe ningun tratamiento aprobado especificamente para NPC en la region. La terapia de reemplazo enzimatico con RNZ-201, administrada directamente en el espacio intratecal para superar la barrera hematoencefalica, representa una aproximacion terapeutica novedosa con fundamento preclnico solido (estudios en modelo murino Npc1nih/nih con reduccion del 68% en acumulacion de colesterol a 6 meses).</w:t>
      </w:r>
    </w:p>
    <w:p>
      <w:pPr>
        <w:spacing w:after="80" w:before="80"/>
        <w:jc w:val="both"/>
      </w:pPr>
      <w:r>
        <w:rPr>
          <w:rFonts w:ascii="Arial" w:cs="Arial" w:eastAsia="Arial" w:hAnsi="Arial"/>
          <w:sz w:val="22"/>
          <w:szCs w:val="22"/>
        </w:rPr>
        <w:t xml:space="preserve"/>
      </w:r>
    </w:p>
    <w:p>
      <w:pPr>
        <w:spacing w:after="80" w:before="80"/>
        <w:jc w:val="both"/>
      </w:pPr>
      <w:r>
        <w:rPr>
          <w:rFonts w:ascii="Arial" w:cs="Arial" w:eastAsia="Arial" w:hAnsi="Arial"/>
          <w:sz w:val="22"/>
          <w:szCs w:val="22"/>
        </w:rPr>
        <w:t xml:space="preserve">La justificacion para incluir pacientes pediatricos desde los 4 anos radica en que la NPC de inicio infantil tiene la progresion mas rapida y el mayor potencial de beneficio de una intervencion temprana. Sin embargo, esta inclusion plantea interrogantes eticos mayores que se abordan explicitamente en la Seccion 5.</w:t>
      </w:r>
    </w:p>
    <w:p>
      <w:pPr>
        <w:pStyle w:val="Heading1"/>
        <w:spacing w:after="160" w:before="320"/>
      </w:pPr>
      <w:r>
        <w:rPr>
          <w:rFonts w:ascii="Arial" w:cs="Arial" w:eastAsia="Arial" w:hAnsi="Arial"/>
          <w:b/>
          <w:bCs/>
          <w:color w:val="1A1A5E"/>
          <w:sz w:val="28"/>
          <w:szCs w:val="28"/>
        </w:rPr>
        <w:t xml:space="preserve">3. OBJETIVOS DEL ESTUDIO</w:t>
      </w:r>
    </w:p>
    <w:p>
      <w:pPr>
        <w:pStyle w:val="Heading2"/>
        <w:spacing w:after="120" w:before="240"/>
      </w:pPr>
      <w:r>
        <w:rPr>
          <w:rFonts w:ascii="Arial" w:cs="Arial" w:eastAsia="Arial" w:hAnsi="Arial"/>
          <w:b/>
          <w:bCs/>
          <w:color w:val="2E2EAA"/>
          <w:sz w:val="24"/>
          <w:szCs w:val="24"/>
        </w:rPr>
        <w:t xml:space="preserve">3.1 Objetivo Primario</w:t>
      </w:r>
    </w:p>
    <w:p>
      <w:pPr>
        <w:spacing w:after="80" w:before="80"/>
        <w:jc w:val="both"/>
      </w:pPr>
      <w:r>
        <w:rPr>
          <w:rFonts w:ascii="Arial" w:cs="Arial" w:eastAsia="Arial" w:hAnsi="Arial"/>
          <w:sz w:val="22"/>
          <w:szCs w:val="22"/>
        </w:rPr>
        <w:t xml:space="preserve">Evaluar el efecto de RNZ-201 administrado por via intratecal (cada 28 dias durante 12 meses) sobre la progresion de la funcion neurologica, medida por el cambio en la puntuacion total de la Escala de Severidad Clinica de NPC (NPC-CSS) desde el basal hasta el mes 12 de tratamiento.</w:t>
      </w:r>
    </w:p>
    <w:p>
      <w:pPr>
        <w:pStyle w:val="Heading2"/>
        <w:spacing w:after="120" w:before="240"/>
      </w:pPr>
      <w:r>
        <w:rPr>
          <w:rFonts w:ascii="Arial" w:cs="Arial" w:eastAsia="Arial" w:hAnsi="Arial"/>
          <w:b/>
          <w:bCs/>
          <w:color w:val="2E2EAA"/>
          <w:sz w:val="24"/>
          <w:szCs w:val="24"/>
        </w:rPr>
        <w:t xml:space="preserve">3.2 Objetivos Secundarios</w:t>
      </w:r>
    </w:p>
    <w:p>
      <w:pPr>
        <w:pStyle w:val="ListParagraph"/>
        <w:numPr>
          <w:ilvl w:val="0"/>
          <w:numId w:val="2"/>
        </w:numPr>
        <w:spacing w:after="60" w:before="60"/>
      </w:pPr>
      <w:r>
        <w:rPr>
          <w:rFonts w:ascii="Arial" w:cs="Arial" w:eastAsia="Arial" w:hAnsi="Arial"/>
          <w:sz w:val="22"/>
          <w:szCs w:val="22"/>
        </w:rPr>
        <w:t xml:space="preserve">Evaluar el perfil de seguridad y tolerabilidad de las infusiones intratecales mensuales de RNZ-201 en ambas cohortes (pediatrica y adulta).</w:t>
      </w:r>
    </w:p>
    <w:p>
      <w:pPr>
        <w:pStyle w:val="ListParagraph"/>
        <w:numPr>
          <w:ilvl w:val="0"/>
          <w:numId w:val="2"/>
        </w:numPr>
        <w:spacing w:after="60" w:before="60"/>
      </w:pPr>
      <w:r>
        <w:rPr>
          <w:rFonts w:ascii="Arial" w:cs="Arial" w:eastAsia="Arial" w:hAnsi="Arial"/>
          <w:sz w:val="22"/>
          <w:szCs w:val="22"/>
        </w:rPr>
        <w:t xml:space="preserve">Describir los cambios en biomarcadores de neuroinflamacion y metabolismo lipidico en liquido cefalorraquideo (LCR) a los 3, 6 y 12 meses.</w:t>
      </w:r>
    </w:p>
    <w:p>
      <w:pPr>
        <w:pStyle w:val="ListParagraph"/>
        <w:numPr>
          <w:ilvl w:val="0"/>
          <w:numId w:val="2"/>
        </w:numPr>
        <w:spacing w:after="60" w:before="60"/>
      </w:pPr>
      <w:r>
        <w:rPr>
          <w:rFonts w:ascii="Arial" w:cs="Arial" w:eastAsia="Arial" w:hAnsi="Arial"/>
          <w:sz w:val="22"/>
          <w:szCs w:val="22"/>
        </w:rPr>
        <w:t xml:space="preserve">Evaluar el impacto sobre la funcion cognitiva mediante bateria neuropsicologica adaptada por edad (CANTAB).</w:t>
      </w:r>
    </w:p>
    <w:p>
      <w:pPr>
        <w:pStyle w:val="ListParagraph"/>
        <w:numPr>
          <w:ilvl w:val="0"/>
          <w:numId w:val="2"/>
        </w:numPr>
        <w:spacing w:after="60" w:before="60"/>
      </w:pPr>
      <w:r>
        <w:rPr>
          <w:rFonts w:ascii="Arial" w:cs="Arial" w:eastAsia="Arial" w:hAnsi="Arial"/>
          <w:sz w:val="22"/>
          <w:szCs w:val="22"/>
        </w:rPr>
        <w:t xml:space="preserve">Caracterizar la farmacocinetica de RNZ-201 en LCR y plasma tras administracion intratecal.</w:t>
      </w:r>
    </w:p>
    <w:p>
      <w:pPr>
        <w:pStyle w:val="ListParagraph"/>
        <w:numPr>
          <w:ilvl w:val="0"/>
          <w:numId w:val="2"/>
        </w:numPr>
        <w:spacing w:after="60" w:before="60"/>
      </w:pPr>
      <w:r>
        <w:rPr>
          <w:rFonts w:ascii="Arial" w:cs="Arial" w:eastAsia="Arial" w:hAnsi="Arial"/>
          <w:sz w:val="22"/>
          <w:szCs w:val="22"/>
        </w:rPr>
        <w:t xml:space="preserve">Evaluar el impacto sobre la calidad de vida de los pacientes y sus familias o cuidadores.</w:t>
      </w:r>
    </w:p>
    <w:p>
      <w:pPr>
        <w:pStyle w:val="ListParagraph"/>
        <w:numPr>
          <w:ilvl w:val="0"/>
          <w:numId w:val="2"/>
        </w:numPr>
        <w:spacing w:after="60" w:before="60"/>
      </w:pPr>
      <w:r>
        <w:rPr>
          <w:rFonts w:ascii="Arial" w:cs="Arial" w:eastAsia="Arial" w:hAnsi="Arial"/>
          <w:sz w:val="22"/>
          <w:szCs w:val="22"/>
        </w:rPr>
        <w:t xml:space="preserve">Explorar biomarcadores geneticos y proteomicos predictivos de respuesta a RNZ-201 (objetivo exploratorio).</w:t>
      </w:r>
    </w:p>
    <w:p>
      <w:pPr>
        <w:pStyle w:val="Heading1"/>
        <w:spacing w:after="160" w:before="320"/>
      </w:pPr>
      <w:r>
        <w:rPr>
          <w:rFonts w:ascii="Arial" w:cs="Arial" w:eastAsia="Arial" w:hAnsi="Arial"/>
          <w:b/>
          <w:bCs/>
          <w:color w:val="1A1A5E"/>
          <w:sz w:val="28"/>
          <w:szCs w:val="28"/>
        </w:rPr>
        <w:t xml:space="preserve">4. POBLACION DE ESTUDIO</w:t>
      </w:r>
    </w:p>
    <w:p>
      <w:pPr>
        <w:pStyle w:val="Heading2"/>
        <w:spacing w:after="120" w:before="240"/>
      </w:pPr>
      <w:r>
        <w:rPr>
          <w:rFonts w:ascii="Arial" w:cs="Arial" w:eastAsia="Arial" w:hAnsi="Arial"/>
          <w:b/>
          <w:bCs/>
          <w:color w:val="2E2EAA"/>
          <w:sz w:val="24"/>
          <w:szCs w:val="24"/>
        </w:rPr>
        <w:t xml:space="preserve">4.1 Criterios de Inclusion</w:t>
      </w:r>
    </w:p>
    <w:p>
      <w:pPr>
        <w:pStyle w:val="ListParagraph"/>
        <w:numPr>
          <w:ilvl w:val="0"/>
          <w:numId w:val="2"/>
        </w:numPr>
        <w:spacing w:after="60" w:before="60"/>
      </w:pPr>
      <w:r>
        <w:rPr>
          <w:rFonts w:ascii="Arial" w:cs="Arial" w:eastAsia="Arial" w:hAnsi="Arial"/>
          <w:sz w:val="22"/>
          <w:szCs w:val="22"/>
        </w:rPr>
        <w:t xml:space="preserve">Edad &gt;= 4 anos y &lt;= 45 anos al momento de la inclusion.</w:t>
      </w:r>
    </w:p>
    <w:p>
      <w:pPr>
        <w:pStyle w:val="ListParagraph"/>
        <w:numPr>
          <w:ilvl w:val="0"/>
          <w:numId w:val="2"/>
        </w:numPr>
        <w:spacing w:after="60" w:before="60"/>
      </w:pPr>
      <w:r>
        <w:rPr>
          <w:rFonts w:ascii="Arial" w:cs="Arial" w:eastAsia="Arial" w:hAnsi="Arial"/>
          <w:sz w:val="22"/>
          <w:szCs w:val="22"/>
        </w:rPr>
        <w:t xml:space="preserve">Diagnostico confirmado de NPC por: (a) genotipado molecular con identificacion de mutaciones patogenicas bialelicas en NPC1 o NPC2, Y/O (b) determinacion de oxiesteroles plasmaticos (24S-OHC, 25-OHC) con patron compatible mas test de filipina positivo en fibroblastos.</w:t>
      </w:r>
    </w:p>
    <w:p>
      <w:pPr>
        <w:pStyle w:val="ListParagraph"/>
        <w:numPr>
          <w:ilvl w:val="0"/>
          <w:numId w:val="2"/>
        </w:numPr>
        <w:spacing w:after="60" w:before="60"/>
      </w:pPr>
      <w:r>
        <w:rPr>
          <w:rFonts w:ascii="Arial" w:cs="Arial" w:eastAsia="Arial" w:hAnsi="Arial"/>
          <w:sz w:val="22"/>
          <w:szCs w:val="22"/>
        </w:rPr>
        <w:t xml:space="preserve">Presencia de manifestaciones neurologicas activas documentadas (ataxia, paralisis supranuclear de mirada, cataplejia u otras) con una puntuacion NPC-CSS basal entre 5 y 35 puntos.</w:t>
      </w:r>
    </w:p>
    <w:p>
      <w:pPr>
        <w:pStyle w:val="ListParagraph"/>
        <w:numPr>
          <w:ilvl w:val="0"/>
          <w:numId w:val="2"/>
        </w:numPr>
        <w:spacing w:after="60" w:before="60"/>
      </w:pPr>
      <w:r>
        <w:rPr>
          <w:rFonts w:ascii="Arial" w:cs="Arial" w:eastAsia="Arial" w:hAnsi="Arial"/>
          <w:sz w:val="22"/>
          <w:szCs w:val="22"/>
        </w:rPr>
        <w:t xml:space="preserve">Capacidad para tolerar puncion lumbar mensual bajo sedacion leve o sin sedacion, segun criterio clinico.</w:t>
      </w:r>
    </w:p>
    <w:p>
      <w:pPr>
        <w:pStyle w:val="ListParagraph"/>
        <w:numPr>
          <w:ilvl w:val="0"/>
          <w:numId w:val="2"/>
        </w:numPr>
        <w:spacing w:after="60" w:before="60"/>
      </w:pPr>
      <w:r>
        <w:rPr>
          <w:rFonts w:ascii="Arial" w:cs="Arial" w:eastAsia="Arial" w:hAnsi="Arial"/>
          <w:sz w:val="22"/>
          <w:szCs w:val="22"/>
        </w:rPr>
        <w:t xml:space="preserve">Consentimiento informado del paciente (adultos) o consentimiento del tutor legal mas asentimiento del menor (pacientes pediatricos).</w:t>
      </w:r>
    </w:p>
    <w:p>
      <w:pPr>
        <w:pStyle w:val="ListParagraph"/>
        <w:numPr>
          <w:ilvl w:val="0"/>
          <w:numId w:val="2"/>
        </w:numPr>
        <w:spacing w:after="60" w:before="60"/>
      </w:pPr>
      <w:r>
        <w:rPr>
          <w:rFonts w:ascii="Arial" w:cs="Arial" w:eastAsia="Arial" w:hAnsi="Arial"/>
          <w:sz w:val="22"/>
          <w:szCs w:val="22"/>
        </w:rPr>
        <w:t xml:space="preserve">Para mujeres en edad fertil: uso de anticoncepcion efectiva durante el estudio y los 3 meses posteriores.</w:t>
      </w:r>
    </w:p>
    <w:p>
      <w:pPr>
        <w:pStyle w:val="Heading2"/>
        <w:spacing w:after="120" w:before="240"/>
      </w:pPr>
      <w:r>
        <w:rPr>
          <w:rFonts w:ascii="Arial" w:cs="Arial" w:eastAsia="Arial" w:hAnsi="Arial"/>
          <w:b/>
          <w:bCs/>
          <w:color w:val="2E2EAA"/>
          <w:sz w:val="24"/>
          <w:szCs w:val="24"/>
        </w:rPr>
        <w:t xml:space="preserve">4.2 Criterios de Exclusion</w:t>
      </w:r>
    </w:p>
    <w:p>
      <w:pPr>
        <w:pStyle w:val="ListParagraph"/>
        <w:numPr>
          <w:ilvl w:val="0"/>
          <w:numId w:val="2"/>
        </w:numPr>
        <w:spacing w:after="60" w:before="60"/>
      </w:pPr>
      <w:r>
        <w:rPr>
          <w:rFonts w:ascii="Arial" w:cs="Arial" w:eastAsia="Arial" w:hAnsi="Arial"/>
          <w:sz w:val="22"/>
          <w:szCs w:val="22"/>
        </w:rPr>
        <w:t xml:space="preserve">Estadio neurologico avanzado con NPC-CSS &gt; 35 puntos (enfermedad muy avanzada con escasa capacidad de respuesta esperada).</w:t>
      </w:r>
    </w:p>
    <w:p>
      <w:pPr>
        <w:pStyle w:val="ListParagraph"/>
        <w:numPr>
          <w:ilvl w:val="0"/>
          <w:numId w:val="2"/>
        </w:numPr>
        <w:spacing w:after="60" w:before="60"/>
      </w:pPr>
      <w:r>
        <w:rPr>
          <w:rFonts w:ascii="Arial" w:cs="Arial" w:eastAsia="Arial" w:hAnsi="Arial"/>
          <w:sz w:val="22"/>
          <w:szCs w:val="22"/>
        </w:rPr>
        <w:t xml:space="preserve">Tratamiento previo con cualquier terapia genica o celular para NPC.</w:t>
      </w:r>
    </w:p>
    <w:p>
      <w:pPr>
        <w:pStyle w:val="ListParagraph"/>
        <w:numPr>
          <w:ilvl w:val="0"/>
          <w:numId w:val="2"/>
        </w:numPr>
        <w:spacing w:after="60" w:before="60"/>
      </w:pPr>
      <w:r>
        <w:rPr>
          <w:rFonts w:ascii="Arial" w:cs="Arial" w:eastAsia="Arial" w:hAnsi="Arial"/>
          <w:sz w:val="22"/>
          <w:szCs w:val="22"/>
        </w:rPr>
        <w:t xml:space="preserve">Contraindicacion anatomica o clinica para puncion lumbar repetida (coagulopatia, hipertension intracraneal severa, infeccion activa del SNC).</w:t>
      </w:r>
    </w:p>
    <w:p>
      <w:pPr>
        <w:pStyle w:val="ListParagraph"/>
        <w:numPr>
          <w:ilvl w:val="0"/>
          <w:numId w:val="2"/>
        </w:numPr>
        <w:spacing w:after="60" w:before="60"/>
      </w:pPr>
      <w:r>
        <w:rPr>
          <w:rFonts w:ascii="Arial" w:cs="Arial" w:eastAsia="Arial" w:hAnsi="Arial"/>
          <w:sz w:val="22"/>
          <w:szCs w:val="22"/>
        </w:rPr>
        <w:t xml:space="preserve">Hipersensibilidad conocida a proteinas recombinantes de origen CHO (ovario de hamster chino).</w:t>
      </w:r>
    </w:p>
    <w:p>
      <w:pPr>
        <w:pStyle w:val="ListParagraph"/>
        <w:numPr>
          <w:ilvl w:val="0"/>
          <w:numId w:val="2"/>
        </w:numPr>
        <w:spacing w:after="60" w:before="60"/>
      </w:pPr>
      <w:r>
        <w:rPr>
          <w:rFonts w:ascii="Arial" w:cs="Arial" w:eastAsia="Arial" w:hAnsi="Arial"/>
          <w:sz w:val="22"/>
          <w:szCs w:val="22"/>
        </w:rPr>
        <w:t xml:space="preserve">Participacion simultanea en otro ensayo clinico interventivo.</w:t>
      </w:r>
    </w:p>
    <w:p>
      <w:pPr>
        <w:pStyle w:val="ListParagraph"/>
        <w:numPr>
          <w:ilvl w:val="0"/>
          <w:numId w:val="2"/>
        </w:numPr>
        <w:spacing w:after="60" w:before="60"/>
      </w:pPr>
      <w:r>
        <w:rPr>
          <w:rFonts w:ascii="Arial" w:cs="Arial" w:eastAsia="Arial" w:hAnsi="Arial"/>
          <w:sz w:val="22"/>
          <w:szCs w:val="22"/>
        </w:rPr>
        <w:t xml:space="preserve">Embarazo o lactancia al momento del reclutamiento.</w:t>
      </w:r>
    </w:p>
    <w:p>
      <w:pPr>
        <w:pStyle w:val="Heading1"/>
        <w:spacing w:after="160" w:before="320"/>
      </w:pPr>
      <w:r>
        <w:rPr>
          <w:rFonts w:ascii="Arial" w:cs="Arial" w:eastAsia="Arial" w:hAnsi="Arial"/>
          <w:b/>
          <w:bCs/>
          <w:color w:val="1A1A5E"/>
          <w:sz w:val="28"/>
          <w:szCs w:val="28"/>
        </w:rPr>
        <w:t xml:space="preserve">5. CONSIDERACIONES ETICAS</w:t>
      </w:r>
    </w:p>
    <w:p>
      <w:pPr>
        <w:spacing w:after="80" w:before="120"/>
      </w:pPr>
      <w:r>
        <w:rPr>
          <w:rFonts w:ascii="Arial" w:cs="Arial" w:eastAsia="Arial" w:hAnsi="Arial"/>
          <w:b/>
          <w:bCs/>
          <w:color w:val="C00000"/>
          <w:sz w:val="22"/>
          <w:szCs w:val="22"/>
        </w:rPr>
        <w:t xml:space="preserve">AREA DE POSIBLE CONFLICTO ETICO - Atencion Requerida por el Comite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0000" w:sz="4"/>
              <w:left w:val="single" w:color="C00000" w:sz="4"/>
              <w:bottom w:val="single" w:color="C00000" w:sz="4"/>
              <w:right w:val="single" w:color="C00000" w:sz="4"/>
            </w:tcBorders>
            <w:shd w:fill="FFF2CC" w:val="clear"/>
            <w:tcMar>
              <w:top w:type="dxa" w:w="160"/>
              <w:left w:type="dxa" w:w="200"/>
              <w:bottom w:type="dxa" w:w="160"/>
              <w:right w:type="dxa" w:w="200"/>
            </w:tcMar>
          </w:tcPr>
          <w:p>
            <w:r>
              <w:rPr>
                <w:rFonts w:ascii="Arial" w:cs="Arial" w:eastAsia="Arial" w:hAnsi="Arial"/>
                <w:b/>
                <w:bCs/>
                <w:color w:val="C00000"/>
                <w:sz w:val="22"/>
                <w:szCs w:val="22"/>
              </w:rPr>
              <w:t xml:space="preserve">CONFLICTO 1: Inclusion de menores desde 4 anos con un procedimiento invasivo mensual (puncion lumbar) sin justificacion diferenciada por edad</w:t>
            </w:r>
          </w:p>
          <w:p>
            <w:pPr>
              <w:spacing w:before="80"/>
            </w:pPr>
            <w:r>
              <w:rPr>
                <w:rFonts w:ascii="Arial" w:cs="Arial" w:eastAsia="Arial" w:hAnsi="Arial"/>
                <w:sz w:val="20"/>
                <w:szCs w:val="20"/>
              </w:rPr>
              <w:t xml:space="preserve">El protocolo incluye ninos desde los 4 anos de edad, quienes recibiran punciones lumbares mensuales durante 12 meses (12 procedimientos invasivos en total). Esta decision plantea los siguientes problemas que el Comite debe analizar:</w:t>
            </w:r>
          </w:p>
          <w:p>
            <w:pPr>
              <w:pStyle w:val="ListParagraph"/>
              <w:numPr>
                <w:ilvl w:val="0"/>
                <w:numId w:val="3"/>
              </w:numPr>
              <w:spacing w:after="60" w:before="60"/>
            </w:pPr>
            <w:r>
              <w:rPr>
                <w:rFonts w:ascii="Arial" w:cs="Arial" w:eastAsia="Arial" w:hAnsi="Arial"/>
                <w:sz w:val="20"/>
                <w:szCs w:val="20"/>
              </w:rPr>
              <w:t xml:space="preserve">El protocolo no distingue en ningun momento entre el procedimiento en ninos de 4-6 anos (que requeriran sedacion general o profunda en cada puncion) y en ninos mayores o adultos. La sedacion repetida en ninos pequenos con dano neurologico preexistente conlleva riesgos acumulativos documentados (neurotoxicidad por agentes anestesicos en desarrollo cerebral) que no son abordados en el protocolo.</w:t>
            </w:r>
          </w:p>
          <w:p>
            <w:pPr>
              <w:pStyle w:val="ListParagraph"/>
              <w:numPr>
                <w:ilvl w:val="0"/>
                <w:numId w:val="3"/>
              </w:numPr>
              <w:spacing w:after="60" w:before="60"/>
            </w:pPr>
            <w:r>
              <w:rPr>
                <w:rFonts w:ascii="Arial" w:cs="Arial" w:eastAsia="Arial" w:hAnsi="Arial"/>
                <w:sz w:val="20"/>
                <w:szCs w:val="20"/>
              </w:rPr>
              <w:t xml:space="preserve">No se especifica el umbral de edad a partir del cual se considera que el menor puede otorgar asentimiento informado real, ni el instrumento ni el proceso que se usara para obtenerlo en ninos de 4 a 7 anos, que no tienen capacidad cognitiva suficiente para comprender el procedimiento.</w:t>
            </w:r>
          </w:p>
          <w:p>
            <w:pPr>
              <w:pStyle w:val="ListParagraph"/>
              <w:numPr>
                <w:ilvl w:val="0"/>
                <w:numId w:val="3"/>
              </w:numPr>
              <w:spacing w:after="60" w:before="60"/>
            </w:pPr>
            <w:r>
              <w:rPr>
                <w:rFonts w:ascii="Arial" w:cs="Arial" w:eastAsia="Arial" w:hAnsi="Arial"/>
                <w:sz w:val="20"/>
                <w:szCs w:val="20"/>
              </w:rPr>
              <w:t xml:space="preserve">El criterio de inclusion 'NPC-CSS basal entre 5 y 35 puntos' es identico para ninos y adultos, a pesar de que la escala NPC-CSS no ha sido validada para uso en menores de 6 anos. El Comite debe solicitar justificacion tecnica de la validez de la escala en el rango de edad inferior incluido.</w:t>
            </w:r>
          </w:p>
          <w:p>
            <w:pPr>
              <w:spacing w:before="80"/>
            </w:pPr>
            <w:r>
              <w:rPr>
                <w:rFonts w:ascii="Arial" w:cs="Arial" w:eastAsia="Arial" w:hAnsi="Arial"/>
                <w:b/>
                <w:bCs/>
                <w:color w:val="C00000"/>
                <w:sz w:val="22"/>
                <w:szCs w:val="22"/>
              </w:rPr>
              <w:t xml:space="preserve">CONFLICTO 2: Ausencia de un plan formal de manejo del fracaso terapeutico en una enfermedad sin alternativas</w:t>
            </w:r>
          </w:p>
          <w:p>
            <w:pPr>
              <w:spacing w:before="60"/>
            </w:pPr>
            <w:r>
              <w:rPr>
                <w:rFonts w:ascii="Arial" w:cs="Arial" w:eastAsia="Arial" w:hAnsi="Arial"/>
                <w:sz w:val="20"/>
                <w:szCs w:val="20"/>
              </w:rPr>
              <w:t xml:space="preserve">El protocolo no define que ocurrira con los pacientes que demuestren progresion neurologica documentada durante el tratamiento con RNZ-201. En una enfermedad sin alternativas terapeuticas aprobadas localmente, continuar un tratamiento ineficaz por 12 meses supone un riesgo de dano por omision. Tampoco existe un criterio de discontinuacion por falta de eficacia intermedia, lo que obliga a los pacientes a completar los 12 meses independientemente de su evolucion.</w:t>
            </w:r>
          </w:p>
          <w:p>
            <w:pPr>
              <w:spacing w:before="80"/>
            </w:pPr>
            <w:r>
              <w:rPr>
                <w:rFonts w:ascii="Arial" w:cs="Arial" w:eastAsia="Arial" w:hAnsi="Arial"/>
                <w:b/>
                <w:bCs/>
                <w:color w:val="C00000"/>
                <w:sz w:val="22"/>
                <w:szCs w:val="22"/>
              </w:rPr>
              <w:t xml:space="preserve">CONFLICTO 3: Reclutamiento incentivado por desesperanza diagnostica en familias de pacientes con enfermedad ultra-rara</w:t>
            </w:r>
          </w:p>
          <w:p>
            <w:pPr>
              <w:spacing w:before="60"/>
            </w:pPr>
            <w:r>
              <w:rPr>
                <w:rFonts w:ascii="Arial" w:cs="Arial" w:eastAsia="Arial" w:hAnsi="Arial"/>
                <w:sz w:val="20"/>
                <w:szCs w:val="20"/>
              </w:rPr>
              <w:t xml:space="preserve">Las familias de pacientes con NPC suelen haber transitado anos de peregrinaje diagnostico y carecen de opciones terapeuticas reales. Esta condicion de vulnerabilidad extrema puede llevar a los tutores legales a aceptar participar en el ensayo sin comprender ni valorar adecuadamente los riesgos de los procedimientos invasivos mensuales. El protocolo no contempla la participacion de un psicologo clinico independiente en el proceso de consentimiento, ni una evaluacion sistematica de la comprension real de los riesgos por parte de los tutores.</w:t>
            </w:r>
          </w:p>
          <w:p>
            <w:pPr>
              <w:spacing w:before="80"/>
            </w:pPr>
            <w:r>
              <w:rPr>
                <w:rFonts w:ascii="Arial" w:cs="Arial" w:eastAsia="Arial" w:hAnsi="Arial"/>
                <w:b/>
                <w:bCs/>
                <w:color w:val="C00000"/>
                <w:sz w:val="22"/>
                <w:szCs w:val="22"/>
              </w:rPr>
              <w:t xml:space="preserve">CONFLICTO 4: Uso de muestras biologicas residuales para investigacion genomica futura sin limite de alcance</w:t>
            </w:r>
          </w:p>
          <w:p>
            <w:pPr>
              <w:spacing w:before="60"/>
            </w:pPr>
            <w:r>
              <w:rPr>
                <w:rFonts w:ascii="Arial" w:cs="Arial" w:eastAsia="Arial" w:hAnsi="Arial"/>
                <w:sz w:val="20"/>
                <w:szCs w:val="20"/>
              </w:rPr>
              <w:t xml:space="preserve">El formulario de consentimiento incluye una clausula que autoriza el uso de muestras residuales de LCR, sangre y tejido para 'investigacion futura relacionada con enfermedades lisosomicas y trastornos del metabolismo lipidico'. Esta autorizacion no tiene limite temporal, no especifica si incluye secuenciacion genomica completa, y no establece si los datos podrian ser compartidos con terceros o utilizados con fines comerciales derivados. En el caso de menores de edad, sus tutores estarian cediendo material genetico con implicaciones para toda la vida del nino y potencialmente para otros miembros de la familia.</w:t>
            </w:r>
          </w:p>
        </w:tc>
      </w:tr>
    </w:tbl>
    <w:p>
      <w:pPr>
        <w:spacing w:before="160"/>
      </w:pPr>
    </w:p>
    <w:p>
      <w:pPr>
        <w:pStyle w:val="Heading2"/>
        <w:spacing w:after="120" w:before="240"/>
      </w:pPr>
      <w:r>
        <w:rPr>
          <w:rFonts w:ascii="Arial" w:cs="Arial" w:eastAsia="Arial" w:hAnsi="Arial"/>
          <w:b/>
          <w:bCs/>
          <w:color w:val="2E2EAA"/>
          <w:sz w:val="24"/>
          <w:szCs w:val="24"/>
        </w:rPr>
        <w:t xml:space="preserve">5.1 Principios Eticos Generales</w:t>
      </w:r>
    </w:p>
    <w:p>
      <w:pPr>
        <w:spacing w:after="80" w:before="80"/>
        <w:jc w:val="both"/>
      </w:pPr>
      <w:r>
        <w:rPr>
          <w:rFonts w:ascii="Arial" w:cs="Arial" w:eastAsia="Arial" w:hAnsi="Arial"/>
          <w:sz w:val="22"/>
          <w:szCs w:val="22"/>
        </w:rPr>
        <w:t xml:space="preserve">El estudio se regira por la Declaracion de Helsinki (2013), las Guias CIOMS 2016 con especial atencion a la Pauta 17 (Investigacion en ninos y adolescentes) y la Pauta 16 (Investigacion con adultos que no pueden dar consentimiento), las guias ICH E11 (Investigacion clinica de medicamentos en poblacion pediatrica), y la normativa nacional vigente en materia de proteccion de datos personales de menores de edad.</w:t>
      </w:r>
    </w:p>
    <w:p>
      <w:pPr>
        <w:pStyle w:val="Heading2"/>
        <w:spacing w:after="120" w:before="240"/>
      </w:pPr>
      <w:r>
        <w:rPr>
          <w:rFonts w:ascii="Arial" w:cs="Arial" w:eastAsia="Arial" w:hAnsi="Arial"/>
          <w:b/>
          <w:bCs/>
          <w:color w:val="2E2EAA"/>
          <w:sz w:val="24"/>
          <w:szCs w:val="24"/>
        </w:rPr>
        <w:t xml:space="preserve">5.2 Proceso de Consentimiento Informado y Asentimiento</w:t>
      </w:r>
    </w:p>
    <w:p>
      <w:pPr>
        <w:spacing w:after="80" w:before="80"/>
        <w:jc w:val="both"/>
      </w:pPr>
      <w:r>
        <w:rPr>
          <w:rFonts w:ascii="Arial" w:cs="Arial" w:eastAsia="Arial" w:hAnsi="Arial"/>
          <w:sz w:val="22"/>
          <w:szCs w:val="22"/>
        </w:rPr>
        <w:t xml:space="preserve">Dado que la poblacion incluye menores desde los 4 anos y adultos con deterioro cognitivo variable, el protocolo establecera los siguientes mecanismos diferenciados:</w:t>
      </w:r>
    </w:p>
    <w:p>
      <w:pPr>
        <w:pStyle w:val="ListParagraph"/>
        <w:numPr>
          <w:ilvl w:val="0"/>
          <w:numId w:val="2"/>
        </w:numPr>
        <w:spacing w:after="60" w:before="60"/>
      </w:pPr>
      <w:r>
        <w:rPr>
          <w:rFonts w:ascii="Arial" w:cs="Arial" w:eastAsia="Arial" w:hAnsi="Arial"/>
          <w:sz w:val="22"/>
          <w:szCs w:val="22"/>
        </w:rPr>
        <w:t xml:space="preserve">Ninos de 4 a 6 anos: consentimiento exclusivamente del tutor legal. Se informara al nino sobre el procedimiento en terminos adaptados a su nivel cognitivo, sin requerir asentimiento formal por falta de capacidad.</w:t>
      </w:r>
    </w:p>
    <w:p>
      <w:pPr>
        <w:pStyle w:val="ListParagraph"/>
        <w:numPr>
          <w:ilvl w:val="0"/>
          <w:numId w:val="2"/>
        </w:numPr>
        <w:spacing w:after="60" w:before="60"/>
      </w:pPr>
      <w:r>
        <w:rPr>
          <w:rFonts w:ascii="Arial" w:cs="Arial" w:eastAsia="Arial" w:hAnsi="Arial"/>
          <w:sz w:val="22"/>
          <w:szCs w:val="22"/>
        </w:rPr>
        <w:t xml:space="preserve">Ninos de 7 a 12 anos: consentimiento del tutor legal mas asentimiento verbal documentado del menor, utilizando material grafico adaptado y validado para esta franja etaria.</w:t>
      </w:r>
    </w:p>
    <w:p>
      <w:pPr>
        <w:pStyle w:val="ListParagraph"/>
        <w:numPr>
          <w:ilvl w:val="0"/>
          <w:numId w:val="2"/>
        </w:numPr>
        <w:spacing w:after="60" w:before="60"/>
      </w:pPr>
      <w:r>
        <w:rPr>
          <w:rFonts w:ascii="Arial" w:cs="Arial" w:eastAsia="Arial" w:hAnsi="Arial"/>
          <w:sz w:val="22"/>
          <w:szCs w:val="22"/>
        </w:rPr>
        <w:t xml:space="preserve">Adolescentes de 13 a 17 anos: consentimiento del tutor legal mas asentimiento escrito del menor con formulario diferenciado de lenguaje accesible.</w:t>
      </w:r>
    </w:p>
    <w:p>
      <w:pPr>
        <w:pStyle w:val="ListParagraph"/>
        <w:numPr>
          <w:ilvl w:val="0"/>
          <w:numId w:val="2"/>
        </w:numPr>
        <w:spacing w:after="60" w:before="60"/>
      </w:pPr>
      <w:r>
        <w:rPr>
          <w:rFonts w:ascii="Arial" w:cs="Arial" w:eastAsia="Arial" w:hAnsi="Arial"/>
          <w:sz w:val="22"/>
          <w:szCs w:val="22"/>
        </w:rPr>
        <w:t xml:space="preserve">Adultos con deterioro cognitivo leve-moderado: evaluacion de capacidad mediante MacCAT-CR antes del proceso de consentimiento. Si la capacidad es insuficiente, se requerira consentimiento del representante legal mas asentimiento del paciente.</w:t>
      </w:r>
    </w:p>
    <w:p>
      <w:pPr>
        <w:pStyle w:val="ListParagraph"/>
        <w:numPr>
          <w:ilvl w:val="0"/>
          <w:numId w:val="2"/>
        </w:numPr>
        <w:spacing w:after="60" w:before="60"/>
      </w:pPr>
      <w:r>
        <w:rPr>
          <w:rFonts w:ascii="Arial" w:cs="Arial" w:eastAsia="Arial" w:hAnsi="Arial"/>
          <w:sz w:val="22"/>
          <w:szCs w:val="22"/>
        </w:rPr>
        <w:t xml:space="preserve">En todos los casos: participacion de un psicologo clinico independiente en al menos una sesion del proceso de consentimiento, y aplicacion del cuestionario QuIC para verificacion de comprension.</w:t>
      </w:r>
    </w:p>
    <w:p>
      <w:pPr>
        <w:pStyle w:val="Heading2"/>
        <w:spacing w:after="120" w:before="240"/>
      </w:pPr>
      <w:r>
        <w:rPr>
          <w:rFonts w:ascii="Arial" w:cs="Arial" w:eastAsia="Arial" w:hAnsi="Arial"/>
          <w:b/>
          <w:bCs/>
          <w:color w:val="2E2EAA"/>
          <w:sz w:val="24"/>
          <w:szCs w:val="24"/>
        </w:rPr>
        <w:t xml:space="preserve">5.3 Salvaguardas Adicionales para Poblacion Pediatrica</w:t>
      </w:r>
    </w:p>
    <w:p>
      <w:pPr>
        <w:spacing w:after="80" w:before="80"/>
        <w:jc w:val="both"/>
      </w:pPr>
      <w:r>
        <w:rPr>
          <w:rFonts w:ascii="Arial" w:cs="Arial" w:eastAsia="Arial" w:hAnsi="Arial"/>
          <w:sz w:val="22"/>
          <w:szCs w:val="22"/>
        </w:rPr>
        <w:t xml:space="preserve">El Comite de Etica es invitado a establecer las siguientes salvaguardas adicionales como condicion de aprobacion:</w:t>
      </w:r>
    </w:p>
    <w:p>
      <w:pPr>
        <w:pStyle w:val="ListParagraph"/>
        <w:numPr>
          <w:ilvl w:val="0"/>
          <w:numId w:val="2"/>
        </w:numPr>
        <w:spacing w:after="60" w:before="60"/>
      </w:pPr>
      <w:r>
        <w:rPr>
          <w:rFonts w:ascii="Arial" w:cs="Arial" w:eastAsia="Arial" w:hAnsi="Arial"/>
          <w:sz w:val="22"/>
          <w:szCs w:val="22"/>
        </w:rPr>
        <w:t xml:space="preserve">Evaluacion independiente del riesgo-beneficio de la sedacion repetida en ninos menores de 7 anos por un anestesiologo pediatrico no vinculado al equipo investigador, antes del inicio del reclutamiento en ese subgrupo.</w:t>
      </w:r>
    </w:p>
    <w:p>
      <w:pPr>
        <w:pStyle w:val="ListParagraph"/>
        <w:numPr>
          <w:ilvl w:val="0"/>
          <w:numId w:val="2"/>
        </w:numPr>
        <w:spacing w:after="60" w:before="60"/>
      </w:pPr>
      <w:r>
        <w:rPr>
          <w:rFonts w:ascii="Arial" w:cs="Arial" w:eastAsia="Arial" w:hAnsi="Arial"/>
          <w:sz w:val="22"/>
          <w:szCs w:val="22"/>
        </w:rPr>
        <w:t xml:space="preserve">Inclusion de un pediatra especialista en neurodesarrollo en el DSMB (Comite de Monitoreo de Datos e Independencia), con revision semestral especifica de la cohorte pediatrica.</w:t>
      </w:r>
    </w:p>
    <w:p>
      <w:pPr>
        <w:pStyle w:val="ListParagraph"/>
        <w:numPr>
          <w:ilvl w:val="0"/>
          <w:numId w:val="2"/>
        </w:numPr>
        <w:spacing w:after="60" w:before="60"/>
      </w:pPr>
      <w:r>
        <w:rPr>
          <w:rFonts w:ascii="Arial" w:cs="Arial" w:eastAsia="Arial" w:hAnsi="Arial"/>
          <w:sz w:val="22"/>
          <w:szCs w:val="22"/>
        </w:rPr>
        <w:t xml:space="preserve">Criterio de discontinuacion individual por progresion: si un paciente muestra aumento de &gt;= 4 puntos en NPC-CSS en evaluacion de mes 6, el equipo investigador y el DSMB deben evaluar la continuacion del tratamiento en ese paciente especifico.</w:t>
      </w:r>
    </w:p>
    <w:p>
      <w:pPr>
        <w:pStyle w:val="Heading2"/>
        <w:spacing w:after="120" w:before="240"/>
      </w:pPr>
      <w:r>
        <w:rPr>
          <w:rFonts w:ascii="Arial" w:cs="Arial" w:eastAsia="Arial" w:hAnsi="Arial"/>
          <w:b/>
          <w:bCs/>
          <w:color w:val="2E2EAA"/>
          <w:sz w:val="24"/>
          <w:szCs w:val="24"/>
        </w:rPr>
        <w:t xml:space="preserve">5.4 Confidencialidad, Datos Geneticos y Muestras Biologicas</w:t>
      </w:r>
    </w:p>
    <w:p>
      <w:pPr>
        <w:spacing w:after="80" w:before="80"/>
        <w:jc w:val="both"/>
      </w:pPr>
      <w:r>
        <w:rPr>
          <w:rFonts w:ascii="Arial" w:cs="Arial" w:eastAsia="Arial" w:hAnsi="Arial"/>
          <w:sz w:val="22"/>
          <w:szCs w:val="22"/>
        </w:rPr>
        <w:t xml:space="preserve">Los datos geneticos de los participantes seran almacenados con doble anonimizacion en servidor nacional con cifrado AES-256. Cualquier uso de muestras biologicas residuales para investigacion futura requerira: (a) aprobacion especifica de este Comite de Etica, (b) re-consentimiento del participante o su representante legal si el uso propuesto excede lo autorizado originalmente, y (c) prohibicion explicita de uso comercial directo de datos geneticos sin consentimiento especifico adicional. El Comite es invitado a establecer un limite temporal de 10 anos para el uso de muestras residuales bajo el presente consentimiento.</w:t>
      </w:r>
    </w:p>
    <w:p>
      <w:pPr>
        <w:pStyle w:val="Heading1"/>
        <w:spacing w:after="160" w:before="320"/>
      </w:pPr>
      <w:r>
        <w:rPr>
          <w:rFonts w:ascii="Arial" w:cs="Arial" w:eastAsia="Arial" w:hAnsi="Arial"/>
          <w:b/>
          <w:bCs/>
          <w:color w:val="1A1A5E"/>
          <w:sz w:val="28"/>
          <w:szCs w:val="28"/>
        </w:rPr>
        <w:t xml:space="preserve">6. DISENO METODOLOGICO</w:t>
      </w:r>
    </w:p>
    <w:p>
      <w:pPr>
        <w:pStyle w:val="Heading2"/>
        <w:spacing w:after="120" w:before="240"/>
      </w:pPr>
      <w:r>
        <w:rPr>
          <w:rFonts w:ascii="Arial" w:cs="Arial" w:eastAsia="Arial" w:hAnsi="Arial"/>
          <w:b/>
          <w:bCs/>
          <w:color w:val="2E2EAA"/>
          <w:sz w:val="24"/>
          <w:szCs w:val="24"/>
        </w:rPr>
        <w:t xml:space="preserve">6.1 Tipo de Diseno</w:t>
      </w:r>
    </w:p>
    <w:p>
      <w:pPr>
        <w:spacing w:after="80" w:before="80"/>
        <w:jc w:val="both"/>
      </w:pPr>
      <w:r>
        <w:rPr>
          <w:rFonts w:ascii="Arial" w:cs="Arial" w:eastAsia="Arial" w:hAnsi="Arial"/>
          <w:sz w:val="22"/>
          <w:szCs w:val="22"/>
        </w:rPr>
        <w:t xml:space="preserve">Ensayo clinico abierto (sin enmascaramiento), multicentrico, de Fase II, sin grupo control aleatorizado. La ausencia de grupo control se justifica por: (a) la extrema rareza de la enfermedad que impide un tamano muestral adecuado para un diseno controlado, (b) la ausencia de tratamiento estandar aprobado localmente que pudiera funcionar como comparador activo, y (c) los precedentes regulatorios de aprobacion de terapias para enfermedades ultra-raras basados en estudios de un solo brazo con controles historicos. Los controles historicos utilizados seran los datos del Registro Internacional de NPC (NPC-Registry, n=312 pacientes con seguimiento &gt;= 12 meses).</w:t>
      </w:r>
    </w:p>
    <w:p>
      <w:pPr>
        <w:pStyle w:val="Heading2"/>
        <w:spacing w:after="120" w:before="240"/>
      </w:pPr>
      <w:r>
        <w:rPr>
          <w:rFonts w:ascii="Arial" w:cs="Arial" w:eastAsia="Arial" w:hAnsi="Arial"/>
          <w:b/>
          <w:bCs/>
          <w:color w:val="2E2EAA"/>
          <w:sz w:val="24"/>
          <w:szCs w:val="24"/>
        </w:rPr>
        <w:t xml:space="preserve">6.2 Descripcion de la Intervencion</w:t>
      </w:r>
    </w:p>
    <w:p>
      <w:pPr>
        <w:spacing w:after="80" w:before="80"/>
        <w:jc w:val="both"/>
      </w:pPr>
      <w:r>
        <w:rPr>
          <w:rFonts w:ascii="Arial" w:cs="Arial" w:eastAsia="Arial" w:hAnsi="Arial"/>
          <w:b/>
          <w:bCs/>
          <w:sz w:val="22"/>
          <w:szCs w:val="22"/>
        </w:rPr>
        <w:t xml:space="preserve">Farmaco: </w:t>
      </w:r>
      <w:r>
        <w:rPr>
          <w:rFonts w:ascii="Arial" w:cs="Arial" w:eastAsia="Arial" w:hAnsi="Arial"/>
          <w:sz w:val="22"/>
          <w:szCs w:val="22"/>
        </w:rPr>
        <w:t xml:space="preserve">RNZ-201 (alfa-metil-glucocerebrosidasa recombinante modificada con peptido de penetracion cerebral), formulacion intratecal 10 mg/5 mL.</w:t>
      </w:r>
    </w:p>
    <w:p>
      <w:pPr>
        <w:spacing w:after="80" w:before="80"/>
        <w:jc w:val="both"/>
      </w:pPr>
      <w:r>
        <w:rPr>
          <w:rFonts w:ascii="Arial" w:cs="Arial" w:eastAsia="Arial" w:hAnsi="Arial"/>
          <w:b/>
          <w:bCs/>
          <w:sz w:val="22"/>
          <w:szCs w:val="22"/>
        </w:rPr>
        <w:t xml:space="preserve">Via de administracion: </w:t>
      </w:r>
      <w:r>
        <w:rPr>
          <w:rFonts w:ascii="Arial" w:cs="Arial" w:eastAsia="Arial" w:hAnsi="Arial"/>
          <w:sz w:val="22"/>
          <w:szCs w:val="22"/>
        </w:rPr>
        <w:t xml:space="preserve">Puncion lumbar con aguja atraumatica 22G, bajo sedacion leve (midazolam intranasal 0.2 mg/kg) en menores de 10 anos o sin sedacion en mayores de 10 anos, segun preferencia del paciente y criterio clinico.</w:t>
      </w:r>
    </w:p>
    <w:p>
      <w:pPr>
        <w:spacing w:after="80" w:before="80"/>
        <w:jc w:val="both"/>
      </w:pPr>
      <w:r>
        <w:rPr>
          <w:rFonts w:ascii="Arial" w:cs="Arial" w:eastAsia="Arial" w:hAnsi="Arial"/>
          <w:b/>
          <w:bCs/>
          <w:sz w:val="22"/>
          <w:szCs w:val="22"/>
        </w:rPr>
        <w:t xml:space="preserve">Frecuencia: </w:t>
      </w:r>
      <w:r>
        <w:rPr>
          <w:rFonts w:ascii="Arial" w:cs="Arial" w:eastAsia="Arial" w:hAnsi="Arial"/>
          <w:sz w:val="22"/>
          <w:szCs w:val="22"/>
        </w:rPr>
        <w:t xml:space="preserve">Cada 28 dias (± 3 dias), durante 12 meses consecutivos (12 infusiones en total).</w:t>
      </w:r>
    </w:p>
    <w:p>
      <w:pPr>
        <w:spacing w:after="80" w:before="80"/>
        <w:jc w:val="both"/>
      </w:pPr>
      <w:r>
        <w:rPr>
          <w:rFonts w:ascii="Arial" w:cs="Arial" w:eastAsia="Arial" w:hAnsi="Arial"/>
          <w:b/>
          <w:bCs/>
          <w:sz w:val="22"/>
          <w:szCs w:val="22"/>
        </w:rPr>
        <w:t xml:space="preserve">Dosis: </w:t>
      </w:r>
      <w:r>
        <w:rPr>
          <w:rFonts w:ascii="Arial" w:cs="Arial" w:eastAsia="Arial" w:hAnsi="Arial"/>
          <w:sz w:val="22"/>
          <w:szCs w:val="22"/>
        </w:rPr>
        <w:t xml:space="preserve">Unica para todos los participantes (no hay escalada de dosis en Fase II): 10 mg por infusion intratecal.</w:t>
      </w:r>
    </w:p>
    <w:p>
      <w:pPr>
        <w:pStyle w:val="Heading2"/>
        <w:spacing w:after="120" w:before="240"/>
      </w:pPr>
      <w:r>
        <w:rPr>
          <w:rFonts w:ascii="Arial" w:cs="Arial" w:eastAsia="Arial" w:hAnsi="Arial"/>
          <w:b/>
          <w:bCs/>
          <w:color w:val="2E2EAA"/>
          <w:sz w:val="24"/>
          <w:szCs w:val="24"/>
        </w:rPr>
        <w:t xml:space="preserve">6.3 Cronograma de Evaluaciones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100"/>
        <w:gridCol w:w="1100"/>
        <w:gridCol w:w="1100"/>
        <w:gridCol w:w="1100"/>
        <w:gridCol w:w="1100"/>
        <w:gridCol w:w="1100"/>
        <w:gridCol w:w="860"/>
      </w:tblGrid>
      <w:tr>
        <w:tc>
          <w:tcPr>
            <w:tcW w:type="dxa" w:w="3000"/>
            <w:tcBorders>
              <w:top w:val="single" w:color="CCCCCC" w:sz="1"/>
              <w:left w:val="single" w:color="CCCCCC" w:sz="1"/>
              <w:bottom w:val="single" w:color="CCCCCC" w:sz="1"/>
              <w:right w:val="single" w:color="CCCCCC" w:sz="1"/>
            </w:tcBorders>
            <w:shd w:fill="1A1A5E" w:val="clear"/>
            <w:tcMar>
              <w:top w:type="dxa" w:w="80"/>
              <w:left w:type="dxa" w:w="60"/>
              <w:bottom w:type="dxa" w:w="80"/>
              <w:right w:type="dxa" w:w="60"/>
            </w:tcMar>
          </w:tcPr>
          <w:p>
            <w:pPr>
              <w:jc w:val="left"/>
            </w:pPr>
            <w:r>
              <w:rPr>
                <w:rFonts w:ascii="Arial" w:cs="Arial" w:eastAsia="Arial" w:hAnsi="Arial"/>
                <w:b/>
                <w:bCs/>
                <w:color w:val="FFFFFF"/>
                <w:sz w:val="17"/>
                <w:szCs w:val="17"/>
              </w:rPr>
              <w:t xml:space="preserve">Evaluacion</w:t>
            </w:r>
          </w:p>
        </w:tc>
        <w:tc>
          <w:tcPr>
            <w:tcW w:type="dxa" w:w="1100"/>
            <w:tcBorders>
              <w:top w:val="single" w:color="CCCCCC" w:sz="1"/>
              <w:left w:val="single" w:color="CCCCCC" w:sz="1"/>
              <w:bottom w:val="single" w:color="CCCCCC" w:sz="1"/>
              <w:right w:val="single" w:color="CCCCCC" w:sz="1"/>
            </w:tcBorders>
            <w:shd w:fill="1A1A5E" w:val="clear"/>
            <w:tcMar>
              <w:top w:type="dxa" w:w="80"/>
              <w:left w:type="dxa" w:w="60"/>
              <w:bottom w:type="dxa" w:w="80"/>
              <w:right w:type="dxa" w:w="60"/>
            </w:tcMar>
          </w:tcPr>
          <w:p>
            <w:pPr>
              <w:jc w:val="center"/>
            </w:pPr>
            <w:r>
              <w:rPr>
                <w:rFonts w:ascii="Arial" w:cs="Arial" w:eastAsia="Arial" w:hAnsi="Arial"/>
                <w:b/>
                <w:bCs/>
                <w:color w:val="FFFFFF"/>
                <w:sz w:val="17"/>
                <w:szCs w:val="17"/>
              </w:rPr>
              <w:t xml:space="preserve">Basal</w:t>
            </w:r>
          </w:p>
        </w:tc>
        <w:tc>
          <w:tcPr>
            <w:tcW w:type="dxa" w:w="1100"/>
            <w:tcBorders>
              <w:top w:val="single" w:color="CCCCCC" w:sz="1"/>
              <w:left w:val="single" w:color="CCCCCC" w:sz="1"/>
              <w:bottom w:val="single" w:color="CCCCCC" w:sz="1"/>
              <w:right w:val="single" w:color="CCCCCC" w:sz="1"/>
            </w:tcBorders>
            <w:shd w:fill="1A1A5E" w:val="clear"/>
            <w:tcMar>
              <w:top w:type="dxa" w:w="80"/>
              <w:left w:type="dxa" w:w="60"/>
              <w:bottom w:type="dxa" w:w="80"/>
              <w:right w:type="dxa" w:w="60"/>
            </w:tcMar>
          </w:tcPr>
          <w:p>
            <w:pPr>
              <w:jc w:val="center"/>
            </w:pPr>
            <w:r>
              <w:rPr>
                <w:rFonts w:ascii="Arial" w:cs="Arial" w:eastAsia="Arial" w:hAnsi="Arial"/>
                <w:b/>
                <w:bCs/>
                <w:color w:val="FFFFFF"/>
                <w:sz w:val="17"/>
                <w:szCs w:val="17"/>
              </w:rPr>
              <w:t xml:space="preserve">Mes 1</w:t>
            </w:r>
          </w:p>
        </w:tc>
        <w:tc>
          <w:tcPr>
            <w:tcW w:type="dxa" w:w="1100"/>
            <w:tcBorders>
              <w:top w:val="single" w:color="CCCCCC" w:sz="1"/>
              <w:left w:val="single" w:color="CCCCCC" w:sz="1"/>
              <w:bottom w:val="single" w:color="CCCCCC" w:sz="1"/>
              <w:right w:val="single" w:color="CCCCCC" w:sz="1"/>
            </w:tcBorders>
            <w:shd w:fill="1A1A5E" w:val="clear"/>
            <w:tcMar>
              <w:top w:type="dxa" w:w="80"/>
              <w:left w:type="dxa" w:w="60"/>
              <w:bottom w:type="dxa" w:w="80"/>
              <w:right w:type="dxa" w:w="60"/>
            </w:tcMar>
          </w:tcPr>
          <w:p>
            <w:pPr>
              <w:jc w:val="center"/>
            </w:pPr>
            <w:r>
              <w:rPr>
                <w:rFonts w:ascii="Arial" w:cs="Arial" w:eastAsia="Arial" w:hAnsi="Arial"/>
                <w:b/>
                <w:bCs/>
                <w:color w:val="FFFFFF"/>
                <w:sz w:val="17"/>
                <w:szCs w:val="17"/>
              </w:rPr>
              <w:t xml:space="preserve">Mes 3</w:t>
            </w:r>
          </w:p>
        </w:tc>
        <w:tc>
          <w:tcPr>
            <w:tcW w:type="dxa" w:w="1100"/>
            <w:tcBorders>
              <w:top w:val="single" w:color="CCCCCC" w:sz="1"/>
              <w:left w:val="single" w:color="CCCCCC" w:sz="1"/>
              <w:bottom w:val="single" w:color="CCCCCC" w:sz="1"/>
              <w:right w:val="single" w:color="CCCCCC" w:sz="1"/>
            </w:tcBorders>
            <w:shd w:fill="1A1A5E" w:val="clear"/>
            <w:tcMar>
              <w:top w:type="dxa" w:w="80"/>
              <w:left w:type="dxa" w:w="60"/>
              <w:bottom w:type="dxa" w:w="80"/>
              <w:right w:type="dxa" w:w="60"/>
            </w:tcMar>
          </w:tcPr>
          <w:p>
            <w:pPr>
              <w:jc w:val="center"/>
            </w:pPr>
            <w:r>
              <w:rPr>
                <w:rFonts w:ascii="Arial" w:cs="Arial" w:eastAsia="Arial" w:hAnsi="Arial"/>
                <w:b/>
                <w:bCs/>
                <w:color w:val="FFFFFF"/>
                <w:sz w:val="17"/>
                <w:szCs w:val="17"/>
              </w:rPr>
              <w:t xml:space="preserve">Mes 6</w:t>
            </w:r>
          </w:p>
        </w:tc>
        <w:tc>
          <w:tcPr>
            <w:tcW w:type="dxa" w:w="1100"/>
            <w:tcBorders>
              <w:top w:val="single" w:color="CCCCCC" w:sz="1"/>
              <w:left w:val="single" w:color="CCCCCC" w:sz="1"/>
              <w:bottom w:val="single" w:color="CCCCCC" w:sz="1"/>
              <w:right w:val="single" w:color="CCCCCC" w:sz="1"/>
            </w:tcBorders>
            <w:shd w:fill="1A1A5E" w:val="clear"/>
            <w:tcMar>
              <w:top w:type="dxa" w:w="80"/>
              <w:left w:type="dxa" w:w="60"/>
              <w:bottom w:type="dxa" w:w="80"/>
              <w:right w:type="dxa" w:w="60"/>
            </w:tcMar>
          </w:tcPr>
          <w:p>
            <w:pPr>
              <w:jc w:val="center"/>
            </w:pPr>
            <w:r>
              <w:rPr>
                <w:rFonts w:ascii="Arial" w:cs="Arial" w:eastAsia="Arial" w:hAnsi="Arial"/>
                <w:b/>
                <w:bCs/>
                <w:color w:val="FFFFFF"/>
                <w:sz w:val="17"/>
                <w:szCs w:val="17"/>
              </w:rPr>
              <w:t xml:space="preserve">Mes 9</w:t>
            </w:r>
          </w:p>
        </w:tc>
        <w:tc>
          <w:tcPr>
            <w:tcW w:type="dxa" w:w="1100"/>
            <w:tcBorders>
              <w:top w:val="single" w:color="CCCCCC" w:sz="1"/>
              <w:left w:val="single" w:color="CCCCCC" w:sz="1"/>
              <w:bottom w:val="single" w:color="CCCCCC" w:sz="1"/>
              <w:right w:val="single" w:color="CCCCCC" w:sz="1"/>
            </w:tcBorders>
            <w:shd w:fill="1A1A5E" w:val="clear"/>
            <w:tcMar>
              <w:top w:type="dxa" w:w="80"/>
              <w:left w:type="dxa" w:w="60"/>
              <w:bottom w:type="dxa" w:w="80"/>
              <w:right w:type="dxa" w:w="60"/>
            </w:tcMar>
          </w:tcPr>
          <w:p>
            <w:pPr>
              <w:jc w:val="center"/>
            </w:pPr>
            <w:r>
              <w:rPr>
                <w:rFonts w:ascii="Arial" w:cs="Arial" w:eastAsia="Arial" w:hAnsi="Arial"/>
                <w:b/>
                <w:bCs/>
                <w:color w:val="FFFFFF"/>
                <w:sz w:val="17"/>
                <w:szCs w:val="17"/>
              </w:rPr>
              <w:t xml:space="preserve">Mes 12</w:t>
            </w:r>
          </w:p>
        </w:tc>
        <w:tc>
          <w:tcPr>
            <w:tcW w:type="dxa" w:w="860"/>
            <w:tcBorders>
              <w:top w:val="single" w:color="CCCCCC" w:sz="1"/>
              <w:left w:val="single" w:color="CCCCCC" w:sz="1"/>
              <w:bottom w:val="single" w:color="CCCCCC" w:sz="1"/>
              <w:right w:val="single" w:color="CCCCCC" w:sz="1"/>
            </w:tcBorders>
            <w:shd w:fill="1A1A5E" w:val="clear"/>
            <w:tcMar>
              <w:top w:type="dxa" w:w="80"/>
              <w:left w:type="dxa" w:w="60"/>
              <w:bottom w:type="dxa" w:w="80"/>
              <w:right w:type="dxa" w:w="60"/>
            </w:tcMar>
          </w:tcPr>
          <w:p>
            <w:pPr>
              <w:jc w:val="center"/>
            </w:pPr>
            <w:r>
              <w:rPr>
                <w:rFonts w:ascii="Arial" w:cs="Arial" w:eastAsia="Arial" w:hAnsi="Arial"/>
                <w:b/>
                <w:bCs/>
                <w:color w:val="FFFFFF"/>
                <w:sz w:val="17"/>
                <w:szCs w:val="17"/>
              </w:rPr>
              <w:t xml:space="preserve">Mes 18</w:t>
            </w:r>
          </w:p>
        </w:tc>
      </w:tr>
      <w:tr>
        <w:tc>
          <w:tcPr>
            <w:tcW w:type="dxa" w:w="30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60"/>
            </w:tcMar>
          </w:tcPr>
          <w:p>
            <w:pPr>
              <w:jc w:val="left"/>
            </w:pPr>
            <w:r>
              <w:rPr>
                <w:rFonts w:ascii="Arial" w:cs="Arial" w:eastAsia="Arial" w:hAnsi="Arial"/>
                <w:sz w:val="17"/>
                <w:szCs w:val="17"/>
              </w:rPr>
              <w:t xml:space="preserve">NPC-CSS (primaria)</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86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60"/>
            </w:tcMar>
          </w:tcPr>
          <w:p>
            <w:pPr>
              <w:jc w:val="left"/>
            </w:pPr>
            <w:r>
              <w:rPr>
                <w:rFonts w:ascii="Arial" w:cs="Arial" w:eastAsia="Arial" w:hAnsi="Arial"/>
                <w:sz w:val="17"/>
                <w:szCs w:val="17"/>
              </w:rPr>
              <w:t xml:space="preserve">Puncion lumbar / infusion RNZ-201</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86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w:t>
            </w:r>
          </w:p>
        </w:tc>
      </w:tr>
      <w:tr>
        <w:tc>
          <w:tcPr>
            <w:tcW w:type="dxa" w:w="30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60"/>
            </w:tcMar>
          </w:tcPr>
          <w:p>
            <w:pPr>
              <w:jc w:val="left"/>
            </w:pPr>
            <w:r>
              <w:rPr>
                <w:rFonts w:ascii="Arial" w:cs="Arial" w:eastAsia="Arial" w:hAnsi="Arial"/>
                <w:sz w:val="17"/>
                <w:szCs w:val="17"/>
              </w:rPr>
              <w:t xml:space="preserve">Analisis LCR (biomarcadores)</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86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60"/>
            </w:tcMar>
          </w:tcPr>
          <w:p>
            <w:pPr>
              <w:jc w:val="left"/>
            </w:pPr>
            <w:r>
              <w:rPr>
                <w:rFonts w:ascii="Arial" w:cs="Arial" w:eastAsia="Arial" w:hAnsi="Arial"/>
                <w:sz w:val="17"/>
                <w:szCs w:val="17"/>
              </w:rPr>
              <w:t xml:space="preserve">Bateria cognitiva CANTAB</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86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r>
      <w:tr>
        <w:tc>
          <w:tcPr>
            <w:tcW w:type="dxa" w:w="30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60"/>
            </w:tcMar>
          </w:tcPr>
          <w:p>
            <w:pPr>
              <w:jc w:val="left"/>
            </w:pPr>
            <w:r>
              <w:rPr>
                <w:rFonts w:ascii="Arial" w:cs="Arial" w:eastAsia="Arial" w:hAnsi="Arial"/>
                <w:sz w:val="17"/>
                <w:szCs w:val="17"/>
              </w:rPr>
              <w:t xml:space="preserve">Neuroimagen (RMN cerebral)</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86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60"/>
            </w:tcMar>
          </w:tcPr>
          <w:p>
            <w:pPr>
              <w:jc w:val="left"/>
            </w:pPr>
            <w:r>
              <w:rPr>
                <w:rFonts w:ascii="Arial" w:cs="Arial" w:eastAsia="Arial" w:hAnsi="Arial"/>
                <w:sz w:val="17"/>
                <w:szCs w:val="17"/>
              </w:rPr>
              <w:t xml:space="preserve">PK plasma y LCR</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86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w:t>
            </w:r>
          </w:p>
        </w:tc>
      </w:tr>
      <w:tr>
        <w:tc>
          <w:tcPr>
            <w:tcW w:type="dxa" w:w="3000"/>
            <w:tcBorders>
              <w:top w:val="single" w:color="CCCCCC" w:sz="1"/>
              <w:left w:val="single" w:color="CCCCCC" w:sz="1"/>
              <w:bottom w:val="single" w:color="CCCCCC" w:sz="1"/>
              <w:right w:val="single" w:color="CCCCCC" w:sz="1"/>
            </w:tcBorders>
            <w:shd w:fill="DDDDF5" w:val="clear"/>
            <w:tcMar>
              <w:top w:type="dxa" w:w="80"/>
              <w:left w:type="dxa" w:w="120"/>
              <w:bottom w:type="dxa" w:w="80"/>
              <w:right w:type="dxa" w:w="60"/>
            </w:tcMar>
          </w:tcPr>
          <w:p>
            <w:pPr>
              <w:jc w:val="left"/>
            </w:pPr>
            <w:r>
              <w:rPr>
                <w:rFonts w:ascii="Arial" w:cs="Arial" w:eastAsia="Arial" w:hAnsi="Arial"/>
                <w:sz w:val="17"/>
                <w:szCs w:val="17"/>
              </w:rPr>
              <w:t xml:space="preserve">PedsQL / SF-36</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w:t>
            </w:r>
          </w:p>
        </w:tc>
        <w:tc>
          <w:tcPr>
            <w:tcW w:type="dxa" w:w="110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860"/>
            <w:tcBorders>
              <w:top w:val="single" w:color="CCCCCC" w:sz="1"/>
              <w:left w:val="single" w:color="CCCCCC" w:sz="1"/>
              <w:bottom w:val="single" w:color="CCCCCC" w:sz="1"/>
              <w:right w:val="single" w:color="CCCCCC" w:sz="1"/>
            </w:tcBorders>
            <w:shd w:fill="DDDDF5" w:val="clear"/>
            <w:tcMar>
              <w:top w:type="dxa" w:w="80"/>
              <w:left w:type="dxa" w:w="60"/>
              <w:bottom w:type="dxa" w:w="80"/>
              <w:right w:type="dxa" w:w="60"/>
            </w:tcMar>
          </w:tcPr>
          <w:p>
            <w:pPr>
              <w:jc w:val="center"/>
            </w:pPr>
            <w:r>
              <w:rPr>
                <w:rFonts w:ascii="Arial" w:cs="Arial" w:eastAsia="Arial" w:hAnsi="Arial"/>
                <w:sz w:val="17"/>
                <w:szCs w:val="17"/>
              </w:rPr>
              <w:t xml:space="preserve">X</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60"/>
            </w:tcMar>
          </w:tcPr>
          <w:p>
            <w:pPr>
              <w:jc w:val="left"/>
            </w:pPr>
            <w:r>
              <w:rPr>
                <w:rFonts w:ascii="Arial" w:cs="Arial" w:eastAsia="Arial" w:hAnsi="Arial"/>
                <w:sz w:val="17"/>
                <w:szCs w:val="17"/>
              </w:rPr>
              <w:t xml:space="preserve">Seguridad CTCAE v5</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110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c>
          <w:tcPr>
            <w:tcW w:type="dxa" w:w="860"/>
            <w:tcBorders>
              <w:top w:val="single" w:color="CCCCCC" w:sz="1"/>
              <w:left w:val="single" w:color="CCCCCC" w:sz="1"/>
              <w:bottom w:val="single" w:color="CCCCCC" w:sz="1"/>
              <w:right w:val="single" w:color="CCCCCC" w:sz="1"/>
            </w:tcBorders>
            <w:shd w:fill="FFFFFF" w:val="clear"/>
            <w:tcMar>
              <w:top w:type="dxa" w:w="80"/>
              <w:left w:type="dxa" w:w="60"/>
              <w:bottom w:type="dxa" w:w="80"/>
              <w:right w:type="dxa" w:w="60"/>
            </w:tcMar>
          </w:tcPr>
          <w:p>
            <w:pPr>
              <w:jc w:val="center"/>
            </w:pPr>
            <w:r>
              <w:rPr>
                <w:rFonts w:ascii="Arial" w:cs="Arial" w:eastAsia="Arial" w:hAnsi="Arial"/>
                <w:sz w:val="17"/>
                <w:szCs w:val="17"/>
              </w:rPr>
              <w:t xml:space="preserve">X</w:t>
            </w:r>
          </w:p>
        </w:tc>
      </w:tr>
    </w:tbl>
    <w:p>
      <w:pPr>
        <w:pStyle w:val="Heading1"/>
        <w:spacing w:after="160" w:before="320"/>
      </w:pPr>
      <w:r>
        <w:rPr>
          <w:rFonts w:ascii="Arial" w:cs="Arial" w:eastAsia="Arial" w:hAnsi="Arial"/>
          <w:b/>
          <w:bCs/>
          <w:color w:val="1A1A5E"/>
          <w:sz w:val="28"/>
          <w:szCs w:val="28"/>
        </w:rPr>
        <w:t xml:space="preserve">7. PLAN DE ANALISIS ESTADISTICO</w:t>
      </w:r>
    </w:p>
    <w:p>
      <w:pPr>
        <w:pStyle w:val="Heading2"/>
        <w:spacing w:after="120" w:before="240"/>
      </w:pPr>
      <w:r>
        <w:rPr>
          <w:rFonts w:ascii="Arial" w:cs="Arial" w:eastAsia="Arial" w:hAnsi="Arial"/>
          <w:b/>
          <w:bCs/>
          <w:color w:val="2E2EAA"/>
          <w:sz w:val="24"/>
          <w:szCs w:val="24"/>
        </w:rPr>
        <w:t xml:space="preserve">7.1 Consideraciones sobre el Tamano Muestral</w:t>
      </w:r>
    </w:p>
    <w:p>
      <w:pPr>
        <w:spacing w:after="80" w:before="80"/>
        <w:jc w:val="both"/>
      </w:pPr>
      <w:r>
        <w:rPr>
          <w:rFonts w:ascii="Arial" w:cs="Arial" w:eastAsia="Arial" w:hAnsi="Arial"/>
          <w:sz w:val="22"/>
          <w:szCs w:val="22"/>
        </w:rPr>
        <w:t xml:space="preserve">Dado el caracter ultra-raro de la NPC (prevalencia estimada de 1:150,000), el tamano muestral de 35 pacientes representa la totalidad de los casos accesibles en los centros participantes en el horizonte temporal del estudio y no fue calculado formalmente con criterios de potencia estadistica clasica. Este enfoque es aceptado por las agencias regulatorias internacionales (FDA, EMA) para enfermedades huerfanas bajo el marco de ensayos con n reducido. El analisis se orientara a la estimacion de efectos con intervalos de confianza amplios, reconociendo explicitamente la incertidumbre estadistica inherente al tamano muestral.</w:t>
      </w:r>
    </w:p>
    <w:p>
      <w:pPr>
        <w:pStyle w:val="Heading2"/>
        <w:spacing w:after="120" w:before="240"/>
      </w:pPr>
      <w:r>
        <w:rPr>
          <w:rFonts w:ascii="Arial" w:cs="Arial" w:eastAsia="Arial" w:hAnsi="Arial"/>
          <w:b/>
          <w:bCs/>
          <w:color w:val="2E2EAA"/>
          <w:sz w:val="24"/>
          <w:szCs w:val="24"/>
        </w:rPr>
        <w:t xml:space="preserve">7.2 Analisis Principal</w:t>
      </w:r>
    </w:p>
    <w:p>
      <w:pPr>
        <w:spacing w:after="80" w:before="80"/>
        <w:jc w:val="both"/>
      </w:pPr>
      <w:r>
        <w:rPr>
          <w:rFonts w:ascii="Arial" w:cs="Arial" w:eastAsia="Arial" w:hAnsi="Arial"/>
          <w:sz w:val="22"/>
          <w:szCs w:val="22"/>
        </w:rPr>
        <w:t xml:space="preserve">El cambio en NPC-CSS desde basal hasta mes 12 se analizara mediante modelos lineales mixtos para medidas repetidas (MMRM), con efectos fijos para tiempo, cohorte (pediatrica/adulta), genotipo (NPC1/NPC2) y puntaje basal. Se reportaran estimaciones con intervalos de confianza del 95% de tipo bootstrap (1,000 iteraciones) dado el tamano muestral reducido. La comparacion con controles historicos del NPC-Registry se realizara mediante analisis de covarianza ajustado por edad de inicio y genotipo.</w:t>
      </w:r>
    </w:p>
    <w:p>
      <w:pPr>
        <w:pStyle w:val="Heading1"/>
        <w:spacing w:after="160" w:before="320"/>
      </w:pPr>
      <w:r>
        <w:rPr>
          <w:rFonts w:ascii="Arial" w:cs="Arial" w:eastAsia="Arial" w:hAnsi="Arial"/>
          <w:b/>
          <w:bCs/>
          <w:color w:val="1A1A5E"/>
          <w:sz w:val="28"/>
          <w:szCs w:val="28"/>
        </w:rPr>
        <w:t xml:space="preserve">8. FINANCIAMIENTO Y ASPECTOS REGULATORIOS</w:t>
      </w:r>
    </w:p>
    <w:p>
      <w:pPr>
        <w:spacing w:after="80" w:before="80"/>
        <w:jc w:val="both"/>
      </w:pPr>
      <w:r>
        <w:rPr>
          <w:rFonts w:ascii="Arial" w:cs="Arial" w:eastAsia="Arial" w:hAnsi="Arial"/>
          <w:sz w:val="22"/>
          <w:szCs w:val="22"/>
        </w:rPr>
        <w:t xml:space="preserve">El estudio es financiado por RareMed Biosciences Inc. (Canada), que provee RNZ-201 y financia la coordinacion del ensayo. Adicionalmente, el estudio recibio un subsidio complementario del Fondo Nacional de Investigacion en Enfermedades Raras (FNIER-2024-045) por USD 120,000 para financiar los costos de los procedimientos y las evaluaciones neurologicas. La Dra. Godoy Paredes declara no poseer acciones en RareMed Biosciences Inc. y no haber recibido honorarios personales del patrocinador. Su laboratorio recibio equipamiento de secuenciacion valorado en USD 38,000 de RareMed en 2024 como parte de un acuerdo de colaboracion cientifica, hecho que se declara como potencial conflicto de interes y se somete a evaluacion del Comite.</w:t>
      </w:r>
    </w:p>
    <w:p>
      <w:pPr>
        <w:spacing w:after="80" w:before="80"/>
        <w:jc w:val="both"/>
      </w:pPr>
      <w:r>
        <w:rPr>
          <w:rFonts w:ascii="Arial" w:cs="Arial" w:eastAsia="Arial" w:hAnsi="Arial"/>
          <w:sz w:val="22"/>
          <w:szCs w:val="22"/>
        </w:rPr>
        <w:t xml:space="preserve"/>
      </w:r>
    </w:p>
    <w:p>
      <w:pPr>
        <w:spacing w:after="80" w:before="80"/>
        <w:jc w:val="both"/>
      </w:pPr>
      <w:r>
        <w:rPr>
          <w:rFonts w:ascii="Arial" w:cs="Arial" w:eastAsia="Arial" w:hAnsi="Arial"/>
          <w:sz w:val="22"/>
          <w:szCs w:val="22"/>
        </w:rPr>
        <w:t xml:space="preserve">El farmaco RNZ-201 cuenta con designacion de farmaco huerfano de la FDA (2023-ODD-0412) y la EMA (EU/3/23/2789), lo que otorga beneficios regulatorios acelerados pero no implica aprobacion de comercializacion. El registro ante la autoridad sanitaria nacional fue presentado el 15 de marzo de 2025 y se encuentra en proceso de evaluacion.</w:t>
      </w:r>
    </w:p>
    <w:p>
      <w:pPr>
        <w:pStyle w:val="Heading1"/>
        <w:spacing w:after="160" w:before="320"/>
      </w:pPr>
      <w:r>
        <w:rPr>
          <w:rFonts w:ascii="Arial" w:cs="Arial" w:eastAsia="Arial" w:hAnsi="Arial"/>
          <w:b/>
          <w:bCs/>
          <w:color w:val="1A1A5E"/>
          <w:sz w:val="28"/>
          <w:szCs w:val="28"/>
        </w:rPr>
        <w:t xml:space="preserve">9. ACCESO POST-ENSAYO Y RETORNO A PARTICIPANTES</w:t>
      </w:r>
    </w:p>
    <w:p>
      <w:pPr>
        <w:spacing w:after="80" w:before="80"/>
        <w:jc w:val="both"/>
      </w:pPr>
      <w:r>
        <w:rPr>
          <w:rFonts w:ascii="Arial" w:cs="Arial" w:eastAsia="Arial" w:hAnsi="Arial"/>
          <w:sz w:val="22"/>
          <w:szCs w:val="22"/>
        </w:rPr>
        <w:t xml:space="preserve">RareMed Biosciences Inc. se compromete formalmente a: (a) proveer acceso continuo a RNZ-201 a todos los pacientes que demuestren beneficio clinico al finalizar el ensayo, hasta su aprobacion regulatoria o por un maximo de 36 meses adicionales; (b) compartir todos los datos desidentificados del ensayo con el Registro Internacional de NPC (NPC-Registry) para beneficio de la comunidad cientifica global; y (c) incluir a los investigadores principales en la autoria de las publicaciones resultantes, con politica de publicacion abierta (open access) en todos los casos.</w:t>
      </w:r>
    </w:p>
    <w:p>
      <w:pPr>
        <w:pStyle w:val="Heading1"/>
        <w:spacing w:after="160" w:before="320"/>
      </w:pPr>
      <w:r>
        <w:rPr>
          <w:rFonts w:ascii="Arial" w:cs="Arial" w:eastAsia="Arial" w:hAnsi="Arial"/>
          <w:b/>
          <w:bCs/>
          <w:color w:val="1A1A5E"/>
          <w:sz w:val="28"/>
          <w:szCs w:val="28"/>
        </w:rPr>
        <w:t xml:space="preserve">10. REFERENCIAS PRINCIPALES</w:t>
      </w:r>
    </w:p>
    <w:p>
      <w:pPr>
        <w:spacing w:after="80" w:before="80"/>
        <w:jc w:val="both"/>
      </w:pPr>
      <w:r>
        <w:rPr>
          <w:rFonts w:ascii="Arial" w:cs="Arial" w:eastAsia="Arial" w:hAnsi="Arial"/>
          <w:sz w:val="20"/>
          <w:szCs w:val="20"/>
        </w:rPr>
        <w:t xml:space="preserve">1. Vanier MT. Niemann-Pick disease type C. Orphanet J Rare Dis. 2010;5:16.</w:t>
      </w:r>
    </w:p>
    <w:p>
      <w:pPr>
        <w:spacing w:after="80" w:before="80"/>
        <w:jc w:val="both"/>
      </w:pPr>
      <w:r>
        <w:rPr>
          <w:rFonts w:ascii="Arial" w:cs="Arial" w:eastAsia="Arial" w:hAnsi="Arial"/>
          <w:sz w:val="20"/>
          <w:szCs w:val="20"/>
        </w:rPr>
        <w:t xml:space="preserve">2. Stampfer M, et al. Efficacy of miglustat in Niemann-Pick type C: a systematic review. Orphanet J Rare Dis. 2013;8:131.</w:t>
      </w:r>
    </w:p>
    <w:p>
      <w:pPr>
        <w:spacing w:after="80" w:before="80"/>
        <w:jc w:val="both"/>
      </w:pPr>
      <w:r>
        <w:rPr>
          <w:rFonts w:ascii="Arial" w:cs="Arial" w:eastAsia="Arial" w:hAnsi="Arial"/>
          <w:sz w:val="20"/>
          <w:szCs w:val="20"/>
        </w:rPr>
        <w:t xml:space="preserve">3. Pineda M, et al. Miglustat in patients with Niemann-Pick disease Type C: a multicenter observational retrospective cohort study. Mol Genet Metab. 2009;98(3):243-249.</w:t>
      </w:r>
    </w:p>
    <w:p>
      <w:pPr>
        <w:spacing w:after="80" w:before="80"/>
        <w:jc w:val="both"/>
      </w:pPr>
      <w:r>
        <w:rPr>
          <w:rFonts w:ascii="Arial" w:cs="Arial" w:eastAsia="Arial" w:hAnsi="Arial"/>
          <w:sz w:val="20"/>
          <w:szCs w:val="20"/>
        </w:rPr>
        <w:t xml:space="preserve">4. ICH E11(R1) Guideline: Clinical Investigation of Medicinal Products in the Pediatric Population. EMA/CHMP/ICH/213/1999.</w:t>
      </w:r>
    </w:p>
    <w:p>
      <w:pPr>
        <w:spacing w:after="80" w:before="80"/>
        <w:jc w:val="both"/>
      </w:pPr>
      <w:r>
        <w:rPr>
          <w:rFonts w:ascii="Arial" w:cs="Arial" w:eastAsia="Arial" w:hAnsi="Arial"/>
          <w:sz w:val="20"/>
          <w:szCs w:val="20"/>
        </w:rPr>
        <w:t xml:space="preserve">5. CIOMS. International Ethical Guidelines for Health-related Research Involving Humans. Pauta 17: Investigacion en ninos y adolescentes. Geneva: CIOMS; 2016.</w:t>
      </w:r>
    </w:p>
    <w:p>
      <w:pPr>
        <w:spacing w:after="80" w:before="80"/>
        <w:jc w:val="both"/>
      </w:pPr>
      <w:r>
        <w:rPr>
          <w:rFonts w:ascii="Arial" w:cs="Arial" w:eastAsia="Arial" w:hAnsi="Arial"/>
          <w:sz w:val="20"/>
          <w:szCs w:val="20"/>
        </w:rPr>
        <w:t xml:space="preserve">6. Hachon Le Camus C, et al. Neuropsychological evaluation in children with Niemann-Pick disease type C. Dev Neuropsychol. 2012;37(3):203-215.</w:t>
      </w:r>
    </w:p>
    <w:p>
      <w:pPr>
        <w:pBdr>
          <w:top w:val="single" w:color="2E2EAA" w:sz="4" w:space="4"/>
        </w:pBdr>
        <w:spacing w:before="400"/>
      </w:pPr>
    </w:p>
    <w:p>
      <w:pPr>
        <w:spacing w:before="160"/>
        <w:jc w:val="center"/>
      </w:pPr>
      <w:r>
        <w:rPr>
          <w:rFonts w:ascii="Arial" w:cs="Arial" w:eastAsia="Arial" w:hAnsi="Arial"/>
          <w:b/>
          <w:bCs/>
          <w:sz w:val="22"/>
          <w:szCs w:val="22"/>
        </w:rPr>
        <w:t xml:space="preserve">Dra. Silvia Marcela Godoy Paredes - Investigadora Principal</w:t>
      </w:r>
    </w:p>
    <w:p>
      <w:pPr>
        <w:jc w:val="center"/>
      </w:pPr>
      <w:r>
        <w:rPr>
          <w:rFonts w:ascii="Arial" w:cs="Arial" w:eastAsia="Arial" w:hAnsi="Arial"/>
          <w:color w:val="666666"/>
          <w:sz w:val="20"/>
          <w:szCs w:val="20"/>
        </w:rPr>
        <w:t xml:space="preserve">Hospital Nacional de Genetica Medica - Servicio de Enfermedades Lisosomales</w:t>
      </w:r>
    </w:p>
    <w:p>
      <w:pPr>
        <w:jc w:val="center"/>
      </w:pPr>
      <w:r>
        <w:rPr>
          <w:rFonts w:ascii="Arial" w:cs="Arial" w:eastAsia="Arial" w:hAnsi="Arial"/>
          <w:color w:val="999999"/>
          <w:sz w:val="18"/>
          <w:szCs w:val="18"/>
        </w:rPr>
        <w:t xml:space="preserve">Protocolo CEI-2025-0103 | Version 1.0 | Abril 2025</w:t>
      </w:r>
    </w:p>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2EAA" w:sz="6" w:space="1"/>
      </w:pBdr>
      <w:tabs>
        <w:tab w:val="right" w:pos="9360"/>
      </w:tabs>
    </w:pPr>
    <w:r>
      <w:rPr>
        <w:rFonts w:ascii="Arial" w:cs="Arial" w:eastAsia="Arial" w:hAnsi="Arial"/>
        <w:color w:val="666666"/>
        <w:sz w:val="16"/>
        <w:szCs w:val="16"/>
      </w:rPr>
      <w:t xml:space="preserve">Comite de Etica en Investigacion - Hospital Nacional de Genetica Medica</w:t>
    </w:r>
    <w:r>
      <w:rPr>
        <w:rFonts w:ascii="Arial" w:cs="Arial" w:eastAsia="Arial" w:hAnsi="Arial"/>
        <w:color w:val="666666"/>
        <w:sz w:val="16"/>
        <w:szCs w:val="16"/>
      </w:rPr>
      <w:t xml:space="preserve">	Pag.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2EAA" w:sz="6" w:space="1"/>
      </w:pBdr>
    </w:pPr>
    <w:r>
      <w:rPr>
        <w:rFonts w:ascii="Arial" w:cs="Arial" w:eastAsia="Arial" w:hAnsi="Arial"/>
        <w:color w:val="666666"/>
        <w:sz w:val="16"/>
        <w:szCs w:val="16"/>
      </w:rPr>
      <w:t xml:space="preserve">PROTOCOLO DE INVESTIGACION CLINICA  |  VERSION 1.0  |  CONFIDENCIAL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1A5E"/>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2EA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2026-04-08T11:44:58.741Z</dcterms:created>
  <dcterms:modified xsi:type="dcterms:W3CDTF">2026-04-08T11:44:58.742Z</dcterms:modified>
</cp:coreProperties>
</file>

<file path=docProps/custom.xml><?xml version="1.0" encoding="utf-8"?>
<Properties xmlns="http://schemas.openxmlformats.org/officeDocument/2006/custom-properties" xmlns:vt="http://schemas.openxmlformats.org/officeDocument/2006/docPropsVTypes"/>
</file>